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985"/>
        <w:gridCol w:w="7085"/>
      </w:tblGrid>
      <w:tr w:rsidR="00675E7C" w:rsidRPr="005B4205" w14:paraId="42483258" w14:textId="77777777" w:rsidTr="000F5832">
        <w:tc>
          <w:tcPr>
            <w:tcW w:w="1985" w:type="dxa"/>
            <w:tcBorders>
              <w:right w:val="single" w:sz="4" w:space="0" w:color="auto"/>
            </w:tcBorders>
            <w:shd w:val="clear" w:color="auto" w:fill="auto"/>
          </w:tcPr>
          <w:p w14:paraId="190ED712" w14:textId="77777777" w:rsidR="00675E7C" w:rsidRPr="005B4205" w:rsidRDefault="00675E7C" w:rsidP="00EC1572">
            <w:pPr>
              <w:spacing w:before="40" w:after="40"/>
              <w:ind w:right="57"/>
              <w:rPr>
                <w:rFonts w:cs="Open Sans"/>
                <w:b/>
                <w:sz w:val="28"/>
                <w:szCs w:val="28"/>
              </w:rPr>
            </w:pPr>
            <w:bookmarkStart w:id="0" w:name="_Hlk74743271"/>
            <w:r w:rsidRPr="005B4205">
              <w:rPr>
                <w:rFonts w:cs="Open Sans"/>
                <w:b/>
                <w:sz w:val="28"/>
                <w:szCs w:val="28"/>
              </w:rPr>
              <w:t>To</w:t>
            </w:r>
          </w:p>
        </w:tc>
        <w:tc>
          <w:tcPr>
            <w:tcW w:w="7085" w:type="dxa"/>
            <w:tcBorders>
              <w:left w:val="single" w:sz="4" w:space="0" w:color="auto"/>
            </w:tcBorders>
            <w:shd w:val="clear" w:color="auto" w:fill="auto"/>
          </w:tcPr>
          <w:p w14:paraId="695D7B18" w14:textId="33F2CCE2" w:rsidR="00675E7C" w:rsidRPr="00EE1024" w:rsidRDefault="00A26954" w:rsidP="00EE1024">
            <w:pPr>
              <w:pStyle w:val="Title"/>
            </w:pPr>
            <w:r>
              <w:t>Council</w:t>
            </w:r>
          </w:p>
        </w:tc>
      </w:tr>
      <w:tr w:rsidR="00675E7C" w:rsidRPr="005B4205" w14:paraId="70D4B019" w14:textId="77777777" w:rsidTr="000F5832">
        <w:tc>
          <w:tcPr>
            <w:tcW w:w="1985" w:type="dxa"/>
            <w:tcBorders>
              <w:right w:val="single" w:sz="4" w:space="0" w:color="auto"/>
            </w:tcBorders>
            <w:shd w:val="clear" w:color="auto" w:fill="auto"/>
          </w:tcPr>
          <w:p w14:paraId="66C01FA6" w14:textId="77777777" w:rsidR="00675E7C" w:rsidRPr="005B4205" w:rsidRDefault="00675E7C" w:rsidP="00A55FD9">
            <w:pPr>
              <w:spacing w:before="40" w:after="40"/>
              <w:ind w:left="57" w:right="57"/>
              <w:rPr>
                <w:rFonts w:cs="Open Sans"/>
                <w:b/>
                <w:sz w:val="28"/>
                <w:szCs w:val="28"/>
              </w:rPr>
            </w:pPr>
            <w:r w:rsidRPr="005B4205">
              <w:rPr>
                <w:rFonts w:cs="Open Sans"/>
                <w:b/>
                <w:sz w:val="28"/>
                <w:szCs w:val="28"/>
              </w:rPr>
              <w:t xml:space="preserve">Report </w:t>
            </w:r>
            <w:r w:rsidR="00454261">
              <w:rPr>
                <w:rFonts w:cs="Open Sans"/>
                <w:b/>
                <w:sz w:val="28"/>
                <w:szCs w:val="28"/>
              </w:rPr>
              <w:t>t</w:t>
            </w:r>
            <w:r w:rsidRPr="005B4205">
              <w:rPr>
                <w:rFonts w:cs="Open Sans"/>
                <w:b/>
                <w:sz w:val="28"/>
                <w:szCs w:val="28"/>
              </w:rPr>
              <w:t>itle</w:t>
            </w:r>
          </w:p>
        </w:tc>
        <w:tc>
          <w:tcPr>
            <w:tcW w:w="7085" w:type="dxa"/>
            <w:tcBorders>
              <w:left w:val="single" w:sz="4" w:space="0" w:color="auto"/>
            </w:tcBorders>
            <w:shd w:val="clear" w:color="auto" w:fill="auto"/>
          </w:tcPr>
          <w:p w14:paraId="3B70C8D0" w14:textId="13706174" w:rsidR="00D4618D" w:rsidRPr="005B4205" w:rsidRDefault="00A26954" w:rsidP="00A26954">
            <w:pPr>
              <w:pStyle w:val="Title"/>
              <w:rPr>
                <w:rFonts w:cs="Open Sans"/>
                <w:b w:val="0"/>
                <w:szCs w:val="22"/>
              </w:rPr>
            </w:pPr>
            <w:r w:rsidRPr="00A26954">
              <w:t xml:space="preserve">Gambling Venues Policy review </w:t>
            </w:r>
            <w:r w:rsidR="00EB0933">
              <w:t>w</w:t>
            </w:r>
            <w:r w:rsidRPr="00A26954">
              <w:t>orkshop</w:t>
            </w:r>
          </w:p>
        </w:tc>
      </w:tr>
      <w:tr w:rsidR="00AA4681" w:rsidRPr="00B52AFF" w14:paraId="042B5B9B" w14:textId="77777777">
        <w:tc>
          <w:tcPr>
            <w:tcW w:w="1985" w:type="dxa"/>
            <w:tcBorders>
              <w:right w:val="single" w:sz="4" w:space="0" w:color="auto"/>
            </w:tcBorders>
            <w:shd w:val="clear" w:color="auto" w:fill="auto"/>
          </w:tcPr>
          <w:p w14:paraId="23456DDB" w14:textId="77777777" w:rsidR="00AA4681" w:rsidRPr="00B52AFF" w:rsidRDefault="00AA4681">
            <w:pPr>
              <w:spacing w:before="40" w:after="40"/>
              <w:ind w:left="57" w:right="57"/>
              <w:rPr>
                <w:rFonts w:cs="Open Sans"/>
                <w:bCs/>
                <w:szCs w:val="22"/>
              </w:rPr>
            </w:pPr>
            <w:bookmarkStart w:id="1" w:name="_Hlk81542401"/>
            <w:bookmarkEnd w:id="0"/>
            <w:r w:rsidRPr="00B52AFF">
              <w:rPr>
                <w:rFonts w:cs="Open Sans"/>
                <w:bCs/>
                <w:szCs w:val="22"/>
              </w:rPr>
              <w:t>Date:</w:t>
            </w:r>
          </w:p>
        </w:tc>
        <w:tc>
          <w:tcPr>
            <w:tcW w:w="7085" w:type="dxa"/>
            <w:tcBorders>
              <w:left w:val="single" w:sz="4" w:space="0" w:color="auto"/>
            </w:tcBorders>
            <w:shd w:val="clear" w:color="auto" w:fill="auto"/>
          </w:tcPr>
          <w:p w14:paraId="39942A66" w14:textId="451073B6" w:rsidR="00AA4681" w:rsidRPr="00B52AFF" w:rsidRDefault="00A26954">
            <w:pPr>
              <w:spacing w:before="40" w:after="40"/>
              <w:ind w:left="57" w:right="57"/>
              <w:rPr>
                <w:rFonts w:cs="Open Sans"/>
                <w:bCs/>
                <w:szCs w:val="22"/>
              </w:rPr>
            </w:pPr>
            <w:r>
              <w:rPr>
                <w:rFonts w:cs="Open Sans"/>
                <w:bCs/>
                <w:szCs w:val="22"/>
              </w:rPr>
              <w:t>23 April 2023</w:t>
            </w:r>
          </w:p>
        </w:tc>
      </w:tr>
      <w:tr w:rsidR="00AA4681" w:rsidRPr="00B52AFF" w14:paraId="1DA142EF" w14:textId="77777777">
        <w:tc>
          <w:tcPr>
            <w:tcW w:w="1985" w:type="dxa"/>
            <w:tcBorders>
              <w:right w:val="single" w:sz="4" w:space="0" w:color="auto"/>
            </w:tcBorders>
            <w:shd w:val="clear" w:color="auto" w:fill="auto"/>
          </w:tcPr>
          <w:p w14:paraId="0E6606E7" w14:textId="77777777" w:rsidR="00AA4681" w:rsidRPr="00B52AFF" w:rsidRDefault="00AA4681">
            <w:pPr>
              <w:spacing w:before="40" w:after="40"/>
              <w:ind w:left="57" w:right="57"/>
              <w:rPr>
                <w:rFonts w:cs="Open Sans"/>
                <w:bCs/>
                <w:szCs w:val="22"/>
              </w:rPr>
            </w:pPr>
            <w:r w:rsidRPr="00B52AFF">
              <w:rPr>
                <w:rFonts w:cs="Open Sans"/>
                <w:bCs/>
                <w:szCs w:val="22"/>
              </w:rPr>
              <w:t>Report Author:</w:t>
            </w:r>
          </w:p>
        </w:tc>
        <w:tc>
          <w:tcPr>
            <w:tcW w:w="7085" w:type="dxa"/>
            <w:tcBorders>
              <w:left w:val="single" w:sz="4" w:space="0" w:color="auto"/>
            </w:tcBorders>
            <w:shd w:val="clear" w:color="auto" w:fill="auto"/>
          </w:tcPr>
          <w:p w14:paraId="63B82491" w14:textId="77777777" w:rsidR="00AA4681" w:rsidRDefault="00A26954">
            <w:pPr>
              <w:spacing w:before="40" w:after="40"/>
              <w:ind w:left="57" w:right="57"/>
              <w:rPr>
                <w:rFonts w:cs="Open Sans"/>
                <w:bCs/>
                <w:szCs w:val="22"/>
              </w:rPr>
            </w:pPr>
            <w:r w:rsidRPr="00A26954">
              <w:rPr>
                <w:rFonts w:cs="Open Sans"/>
                <w:bCs/>
                <w:szCs w:val="22"/>
              </w:rPr>
              <w:t>Toby McIntyre</w:t>
            </w:r>
            <w:r>
              <w:rPr>
                <w:rFonts w:cs="Open Sans"/>
                <w:bCs/>
                <w:szCs w:val="22"/>
              </w:rPr>
              <w:t>, Policy Advisor</w:t>
            </w:r>
          </w:p>
          <w:p w14:paraId="7B238B3B" w14:textId="2A648C5F" w:rsidR="00A26954" w:rsidRPr="00B52AFF" w:rsidRDefault="00A26954">
            <w:pPr>
              <w:spacing w:before="40" w:after="40"/>
              <w:ind w:left="57" w:right="57"/>
              <w:rPr>
                <w:rFonts w:cs="Open Sans"/>
                <w:bCs/>
                <w:szCs w:val="22"/>
              </w:rPr>
            </w:pPr>
            <w:r>
              <w:rPr>
                <w:rFonts w:cs="Open Sans"/>
                <w:bCs/>
                <w:szCs w:val="22"/>
              </w:rPr>
              <w:t>Tony Pipe, Environmental Health Team Leader</w:t>
            </w:r>
          </w:p>
        </w:tc>
      </w:tr>
      <w:tr w:rsidR="00AA4681" w:rsidRPr="00B52AFF" w14:paraId="598A5CBA" w14:textId="77777777">
        <w:tc>
          <w:tcPr>
            <w:tcW w:w="1985" w:type="dxa"/>
            <w:tcBorders>
              <w:right w:val="single" w:sz="4" w:space="0" w:color="auto"/>
            </w:tcBorders>
            <w:shd w:val="clear" w:color="auto" w:fill="auto"/>
          </w:tcPr>
          <w:p w14:paraId="4E917EE6" w14:textId="77777777" w:rsidR="00AA4681" w:rsidRPr="00B52AFF" w:rsidRDefault="00AA4681">
            <w:pPr>
              <w:spacing w:before="40" w:after="40"/>
              <w:ind w:left="57" w:right="57"/>
              <w:rPr>
                <w:rFonts w:cs="Open Sans"/>
                <w:bCs/>
                <w:szCs w:val="22"/>
              </w:rPr>
            </w:pPr>
            <w:r w:rsidRPr="00B52AFF">
              <w:rPr>
                <w:rFonts w:cs="Open Sans"/>
                <w:bCs/>
                <w:szCs w:val="22"/>
              </w:rPr>
              <w:t>Authorised by:</w:t>
            </w:r>
          </w:p>
        </w:tc>
        <w:tc>
          <w:tcPr>
            <w:tcW w:w="7085" w:type="dxa"/>
            <w:tcBorders>
              <w:left w:val="single" w:sz="4" w:space="0" w:color="auto"/>
            </w:tcBorders>
            <w:shd w:val="clear" w:color="auto" w:fill="auto"/>
          </w:tcPr>
          <w:p w14:paraId="1EF5DF75" w14:textId="2EFBF26C" w:rsidR="00AA4681" w:rsidRPr="00B52AFF" w:rsidRDefault="00A26954">
            <w:pPr>
              <w:spacing w:before="40" w:after="40"/>
              <w:ind w:left="57" w:right="57"/>
              <w:rPr>
                <w:rFonts w:cs="Open Sans"/>
                <w:bCs/>
                <w:szCs w:val="22"/>
              </w:rPr>
            </w:pPr>
            <w:r>
              <w:rPr>
                <w:rFonts w:cs="Open Sans"/>
                <w:bCs/>
                <w:szCs w:val="22"/>
              </w:rPr>
              <w:t>Roger MacCulloch</w:t>
            </w:r>
            <w:r w:rsidR="00DA5E7E">
              <w:rPr>
                <w:rFonts w:cs="Open Sans"/>
                <w:bCs/>
                <w:szCs w:val="22"/>
              </w:rPr>
              <w:t>, General Manager Customer Support</w:t>
            </w:r>
          </w:p>
        </w:tc>
      </w:tr>
    </w:tbl>
    <w:p w14:paraId="2C142184" w14:textId="77777777" w:rsidR="00AA4681" w:rsidRDefault="00AA4681" w:rsidP="00161C3A">
      <w:pPr>
        <w:jc w:val="center"/>
        <w:rPr>
          <w:rFonts w:cs="Open Sans"/>
          <w:i/>
          <w:szCs w:val="22"/>
        </w:rPr>
      </w:pPr>
    </w:p>
    <w:p w14:paraId="1B56858B" w14:textId="77777777" w:rsidR="004D6078" w:rsidRPr="00455584" w:rsidRDefault="005B4205" w:rsidP="005B4205">
      <w:pPr>
        <w:pStyle w:val="Heading1"/>
        <w:pBdr>
          <w:bottom w:val="single" w:sz="4" w:space="1" w:color="auto"/>
        </w:pBdr>
        <w:spacing w:line="240" w:lineRule="auto"/>
        <w:rPr>
          <w:rFonts w:cs="Open Sans"/>
          <w:smallCaps/>
          <w:szCs w:val="28"/>
        </w:rPr>
      </w:pPr>
      <w:bookmarkStart w:id="2" w:name="_Hlk81046359"/>
      <w:bookmarkStart w:id="3" w:name="_Hlk74743742"/>
      <w:bookmarkStart w:id="4" w:name="_Hlk81542506"/>
      <w:bookmarkEnd w:id="1"/>
      <w:r w:rsidRPr="00455584">
        <w:rPr>
          <w:rFonts w:cs="Open Sans"/>
          <w:bCs/>
          <w:iCs/>
          <w:color w:val="0085AD"/>
          <w:szCs w:val="28"/>
        </w:rPr>
        <w:t>Purpose of the report</w:t>
      </w:r>
      <w:r w:rsidRPr="00455584">
        <w:rPr>
          <w:rFonts w:cs="Open Sans"/>
          <w:color w:val="0085AD"/>
          <w:szCs w:val="28"/>
        </w:rPr>
        <w:br/>
      </w:r>
      <w:r w:rsidR="003B2AD7" w:rsidRPr="00455584">
        <w:rPr>
          <w:rFonts w:cs="Open Sans"/>
          <w:bCs/>
          <w:iCs/>
          <w:color w:val="00B2EA"/>
          <w:szCs w:val="28"/>
        </w:rPr>
        <w:t>T</w:t>
      </w:r>
      <w:r w:rsidR="00D4618D" w:rsidRPr="00455584">
        <w:rPr>
          <w:rFonts w:cs="Open Sans"/>
          <w:bCs/>
          <w:iCs/>
          <w:color w:val="00B2EA"/>
          <w:szCs w:val="28"/>
        </w:rPr>
        <w:t xml:space="preserve">e </w:t>
      </w:r>
      <w:r w:rsidR="001168FE" w:rsidRPr="00455584">
        <w:rPr>
          <w:rFonts w:cs="Open Sans"/>
          <w:bCs/>
          <w:iCs/>
          <w:color w:val="00B2EA"/>
          <w:szCs w:val="28"/>
        </w:rPr>
        <w:t>T</w:t>
      </w:r>
      <w:r w:rsidR="00D4618D" w:rsidRPr="00455584">
        <w:rPr>
          <w:rFonts w:cs="Open Sans"/>
          <w:bCs/>
          <w:iCs/>
          <w:color w:val="00B2EA"/>
          <w:szCs w:val="28"/>
        </w:rPr>
        <w:t xml:space="preserve">ake </w:t>
      </w:r>
      <w:r w:rsidR="00A55FD9" w:rsidRPr="00455584">
        <w:rPr>
          <w:rFonts w:cs="Open Sans"/>
          <w:bCs/>
          <w:iCs/>
          <w:color w:val="00B2EA"/>
          <w:szCs w:val="28"/>
        </w:rPr>
        <w:t>m</w:t>
      </w:r>
      <w:r w:rsidR="002465DF" w:rsidRPr="00455584">
        <w:rPr>
          <w:rFonts w:cs="Open Sans"/>
          <w:bCs/>
          <w:iCs/>
          <w:color w:val="00B2EA"/>
          <w:szCs w:val="28"/>
        </w:rPr>
        <w:t>oo</w:t>
      </w:r>
      <w:r w:rsidR="00D4618D" w:rsidRPr="00455584">
        <w:rPr>
          <w:rFonts w:cs="Open Sans"/>
          <w:bCs/>
          <w:iCs/>
          <w:color w:val="00B2EA"/>
          <w:szCs w:val="28"/>
        </w:rPr>
        <w:t xml:space="preserve"> </w:t>
      </w:r>
      <w:proofErr w:type="spellStart"/>
      <w:r w:rsidR="00D4618D" w:rsidRPr="00455584">
        <w:rPr>
          <w:rFonts w:cs="Open Sans"/>
          <w:bCs/>
          <w:iCs/>
          <w:color w:val="00B2EA"/>
          <w:szCs w:val="28"/>
        </w:rPr>
        <w:t>te</w:t>
      </w:r>
      <w:proofErr w:type="spellEnd"/>
      <w:r w:rsidR="00D4618D" w:rsidRPr="00455584">
        <w:rPr>
          <w:rFonts w:cs="Open Sans"/>
          <w:bCs/>
          <w:iCs/>
          <w:color w:val="00B2EA"/>
          <w:szCs w:val="28"/>
        </w:rPr>
        <w:t xml:space="preserve"> </w:t>
      </w:r>
      <w:proofErr w:type="spellStart"/>
      <w:proofErr w:type="gramStart"/>
      <w:r w:rsidR="00B65A9B" w:rsidRPr="00455584">
        <w:rPr>
          <w:rFonts w:cs="Open Sans"/>
          <w:bCs/>
          <w:iCs/>
          <w:color w:val="00B2EA"/>
          <w:szCs w:val="28"/>
        </w:rPr>
        <w:t>p</w:t>
      </w:r>
      <w:r w:rsidR="002465DF" w:rsidRPr="00455584">
        <w:rPr>
          <w:rFonts w:cs="Open Sans"/>
          <w:bCs/>
          <w:iCs/>
          <w:color w:val="00B2EA"/>
          <w:szCs w:val="28"/>
        </w:rPr>
        <w:t>uu</w:t>
      </w:r>
      <w:r w:rsidR="00D4618D" w:rsidRPr="00455584">
        <w:rPr>
          <w:rFonts w:cs="Open Sans"/>
          <w:bCs/>
          <w:iCs/>
          <w:color w:val="00B2EA"/>
          <w:szCs w:val="28"/>
        </w:rPr>
        <w:t>rongo</w:t>
      </w:r>
      <w:proofErr w:type="spellEnd"/>
      <w:proofErr w:type="gramEnd"/>
      <w:r w:rsidR="003A2F23" w:rsidRPr="00455584">
        <w:rPr>
          <w:rFonts w:cs="Open Sans"/>
          <w:szCs w:val="28"/>
        </w:rPr>
        <w:t xml:space="preserve">  </w:t>
      </w:r>
    </w:p>
    <w:p w14:paraId="614DEF00" w14:textId="7EAB8DBB" w:rsidR="00367871" w:rsidRPr="00A26954" w:rsidRDefault="00367871" w:rsidP="001D7B70">
      <w:pPr>
        <w:rPr>
          <w:rFonts w:eastAsia="Calibri"/>
          <w:lang w:eastAsia="en-NZ"/>
        </w:rPr>
      </w:pPr>
      <w:bookmarkStart w:id="5" w:name="_Hlk81542809"/>
      <w:bookmarkStart w:id="6" w:name="_Hlk79521588"/>
      <w:bookmarkEnd w:id="2"/>
      <w:r w:rsidRPr="00A26954">
        <w:rPr>
          <w:rFonts w:eastAsia="Calibri"/>
          <w:lang w:eastAsia="en-NZ"/>
        </w:rPr>
        <w:t>To</w:t>
      </w:r>
      <w:r w:rsidR="00A26954" w:rsidRPr="00A26954">
        <w:rPr>
          <w:rFonts w:eastAsia="Calibri"/>
          <w:lang w:eastAsia="en-NZ"/>
        </w:rPr>
        <w:t xml:space="preserve"> provide information, and</w:t>
      </w:r>
      <w:r w:rsidRPr="00A26954">
        <w:rPr>
          <w:rFonts w:eastAsia="Calibri"/>
          <w:lang w:eastAsia="en-NZ"/>
        </w:rPr>
        <w:t xml:space="preserve"> </w:t>
      </w:r>
      <w:r w:rsidR="00A26954" w:rsidRPr="00A26954">
        <w:rPr>
          <w:rFonts w:eastAsia="Calibri"/>
          <w:lang w:eastAsia="en-NZ"/>
        </w:rPr>
        <w:t>seek feedback, from</w:t>
      </w:r>
      <w:r w:rsidRPr="00A26954">
        <w:rPr>
          <w:rFonts w:eastAsia="Calibri"/>
          <w:lang w:eastAsia="en-NZ"/>
        </w:rPr>
        <w:t xml:space="preserve"> Council</w:t>
      </w:r>
      <w:r w:rsidR="00A26954" w:rsidRPr="00A26954">
        <w:rPr>
          <w:rFonts w:eastAsia="Calibri"/>
          <w:lang w:eastAsia="en-NZ"/>
        </w:rPr>
        <w:t xml:space="preserve"> </w:t>
      </w:r>
      <w:r w:rsidRPr="00A26954">
        <w:rPr>
          <w:rFonts w:eastAsia="Calibri"/>
          <w:lang w:eastAsia="en-NZ"/>
        </w:rPr>
        <w:t xml:space="preserve">on </w:t>
      </w:r>
      <w:r w:rsidR="00A26954" w:rsidRPr="00A26954">
        <w:rPr>
          <w:rFonts w:eastAsia="Calibri"/>
          <w:lang w:eastAsia="en-NZ"/>
        </w:rPr>
        <w:t>the review of the Gambling Venues Policy</w:t>
      </w:r>
      <w:r w:rsidR="00EB0933">
        <w:rPr>
          <w:rFonts w:eastAsia="Calibri"/>
          <w:lang w:eastAsia="en-NZ"/>
        </w:rPr>
        <w:t xml:space="preserve"> (</w:t>
      </w:r>
      <w:r w:rsidR="0033257D">
        <w:rPr>
          <w:rFonts w:eastAsia="Calibri"/>
          <w:lang w:eastAsia="en-NZ"/>
        </w:rPr>
        <w:t>the Policy</w:t>
      </w:r>
      <w:r w:rsidR="00EB0933">
        <w:rPr>
          <w:rFonts w:eastAsia="Calibri"/>
          <w:lang w:eastAsia="en-NZ"/>
        </w:rPr>
        <w:t>)</w:t>
      </w:r>
      <w:r w:rsidR="00A26954" w:rsidRPr="00A26954">
        <w:rPr>
          <w:rFonts w:eastAsia="Calibri"/>
          <w:lang w:eastAsia="en-NZ"/>
        </w:rPr>
        <w:t>.</w:t>
      </w:r>
    </w:p>
    <w:p w14:paraId="05D6B41C" w14:textId="77777777" w:rsidR="00675E7C" w:rsidRPr="00455584" w:rsidRDefault="00675E7C" w:rsidP="00455584">
      <w:pPr>
        <w:pStyle w:val="Heading1"/>
        <w:pBdr>
          <w:bottom w:val="single" w:sz="4" w:space="1" w:color="auto"/>
        </w:pBdr>
        <w:spacing w:line="240" w:lineRule="auto"/>
        <w:rPr>
          <w:rFonts w:cs="Open Sans"/>
          <w:bCs/>
          <w:iCs/>
          <w:smallCaps/>
          <w:color w:val="0085AD"/>
          <w:szCs w:val="28"/>
        </w:rPr>
      </w:pPr>
      <w:bookmarkStart w:id="7" w:name="_Hlk85985570"/>
      <w:r w:rsidRPr="00455584">
        <w:rPr>
          <w:rFonts w:cs="Open Sans"/>
          <w:bCs/>
          <w:iCs/>
          <w:color w:val="0085AD"/>
          <w:szCs w:val="28"/>
        </w:rPr>
        <w:t xml:space="preserve">Executive </w:t>
      </w:r>
      <w:r w:rsidR="00B65A9B" w:rsidRPr="00455584">
        <w:rPr>
          <w:rFonts w:cs="Open Sans"/>
          <w:bCs/>
          <w:iCs/>
          <w:color w:val="0085AD"/>
          <w:szCs w:val="28"/>
        </w:rPr>
        <w:t>s</w:t>
      </w:r>
      <w:r w:rsidRPr="00455584">
        <w:rPr>
          <w:rFonts w:cs="Open Sans"/>
          <w:bCs/>
          <w:iCs/>
          <w:color w:val="0085AD"/>
          <w:szCs w:val="28"/>
        </w:rPr>
        <w:t>ummary</w:t>
      </w:r>
      <w:r w:rsidR="00455584">
        <w:rPr>
          <w:rFonts w:cs="Open Sans"/>
          <w:bCs/>
          <w:iCs/>
          <w:color w:val="0085AD"/>
          <w:szCs w:val="28"/>
        </w:rPr>
        <w:br/>
      </w:r>
      <w:proofErr w:type="spellStart"/>
      <w:r w:rsidR="00455584" w:rsidRPr="00455584">
        <w:rPr>
          <w:rFonts w:cs="Open Sans"/>
          <w:bCs/>
          <w:iCs/>
          <w:color w:val="00B2EA"/>
          <w:szCs w:val="28"/>
        </w:rPr>
        <w:t>Whakaraapopototanga</w:t>
      </w:r>
      <w:proofErr w:type="spellEnd"/>
      <w:r w:rsidR="00455584" w:rsidRPr="00455584">
        <w:rPr>
          <w:rFonts w:cs="Open Sans"/>
          <w:bCs/>
          <w:iCs/>
          <w:color w:val="00B2EA"/>
          <w:szCs w:val="28"/>
        </w:rPr>
        <w:t xml:space="preserve"> </w:t>
      </w:r>
      <w:proofErr w:type="spellStart"/>
      <w:r w:rsidR="00455584" w:rsidRPr="00455584">
        <w:rPr>
          <w:rFonts w:cs="Open Sans"/>
          <w:bCs/>
          <w:iCs/>
          <w:color w:val="00B2EA"/>
          <w:szCs w:val="28"/>
        </w:rPr>
        <w:t>matua</w:t>
      </w:r>
      <w:proofErr w:type="spellEnd"/>
    </w:p>
    <w:p w14:paraId="7D32D4D2" w14:textId="4E8B3F44" w:rsidR="00E51B80" w:rsidRDefault="00A26954" w:rsidP="0009423E">
      <w:bookmarkStart w:id="8" w:name="_Hlk81542823"/>
      <w:bookmarkEnd w:id="5"/>
      <w:bookmarkEnd w:id="7"/>
      <w:r w:rsidRPr="00A90511">
        <w:t>Under both</w:t>
      </w:r>
      <w:r w:rsidRPr="00A90511">
        <w:rPr>
          <w:spacing w:val="-1"/>
        </w:rPr>
        <w:t xml:space="preserve"> </w:t>
      </w:r>
      <w:r w:rsidRPr="00A90511">
        <w:t>the</w:t>
      </w:r>
      <w:r w:rsidRPr="00A90511">
        <w:rPr>
          <w:spacing w:val="-1"/>
        </w:rPr>
        <w:t xml:space="preserve"> </w:t>
      </w:r>
      <w:r w:rsidRPr="00A90511">
        <w:t>Gambling</w:t>
      </w:r>
      <w:r w:rsidRPr="00A90511">
        <w:rPr>
          <w:spacing w:val="-3"/>
        </w:rPr>
        <w:t xml:space="preserve"> </w:t>
      </w:r>
      <w:r w:rsidRPr="00A90511">
        <w:t>Act</w:t>
      </w:r>
      <w:r w:rsidRPr="00A90511">
        <w:rPr>
          <w:spacing w:val="-4"/>
        </w:rPr>
        <w:t xml:space="preserve"> </w:t>
      </w:r>
      <w:r w:rsidRPr="00A90511">
        <w:t>2003</w:t>
      </w:r>
      <w:r w:rsidRPr="00A90511">
        <w:rPr>
          <w:spacing w:val="-1"/>
        </w:rPr>
        <w:t xml:space="preserve"> </w:t>
      </w:r>
      <w:r w:rsidRPr="00A90511">
        <w:t>and the</w:t>
      </w:r>
      <w:r w:rsidRPr="00A90511">
        <w:rPr>
          <w:spacing w:val="-1"/>
        </w:rPr>
        <w:t xml:space="preserve"> </w:t>
      </w:r>
      <w:r w:rsidRPr="00A90511">
        <w:t>Racing</w:t>
      </w:r>
      <w:r w:rsidRPr="00A90511">
        <w:rPr>
          <w:spacing w:val="-1"/>
        </w:rPr>
        <w:t xml:space="preserve"> Industry </w:t>
      </w:r>
      <w:r w:rsidRPr="00A90511">
        <w:t>Act</w:t>
      </w:r>
      <w:r w:rsidRPr="00A90511">
        <w:rPr>
          <w:spacing w:val="-1"/>
        </w:rPr>
        <w:t xml:space="preserve"> </w:t>
      </w:r>
      <w:r w:rsidRPr="00A90511">
        <w:t>2020,</w:t>
      </w:r>
      <w:r w:rsidRPr="00A90511">
        <w:rPr>
          <w:spacing w:val="-1"/>
        </w:rPr>
        <w:t xml:space="preserve"> </w:t>
      </w:r>
      <w:r w:rsidRPr="00A90511">
        <w:t>Waikato</w:t>
      </w:r>
      <w:r w:rsidRPr="00A90511">
        <w:rPr>
          <w:spacing w:val="-3"/>
        </w:rPr>
        <w:t xml:space="preserve"> </w:t>
      </w:r>
      <w:r w:rsidRPr="00A90511">
        <w:t>District</w:t>
      </w:r>
      <w:r w:rsidRPr="00A90511">
        <w:rPr>
          <w:spacing w:val="-4"/>
        </w:rPr>
        <w:t xml:space="preserve"> </w:t>
      </w:r>
      <w:r w:rsidRPr="00A90511">
        <w:t>Council</w:t>
      </w:r>
      <w:r w:rsidRPr="00A90511">
        <w:rPr>
          <w:spacing w:val="-1"/>
        </w:rPr>
        <w:t xml:space="preserve"> </w:t>
      </w:r>
      <w:r w:rsidRPr="00A90511">
        <w:t>is</w:t>
      </w:r>
      <w:r w:rsidRPr="00A90511">
        <w:rPr>
          <w:spacing w:val="-2"/>
        </w:rPr>
        <w:t xml:space="preserve"> </w:t>
      </w:r>
      <w:r w:rsidRPr="00A90511">
        <w:t>required to implement a Class 4 Venues Policy and a TAB Venues Policy, currently jointly covered as the</w:t>
      </w:r>
      <w:r w:rsidRPr="004E1A7A">
        <w:t xml:space="preserve"> </w:t>
      </w:r>
      <w:r w:rsidRPr="00A90511">
        <w:t>Gambling</w:t>
      </w:r>
      <w:r w:rsidRPr="004E1A7A">
        <w:t xml:space="preserve"> </w:t>
      </w:r>
      <w:r w:rsidRPr="00A90511">
        <w:t>Venues</w:t>
      </w:r>
      <w:r w:rsidRPr="004E1A7A">
        <w:t xml:space="preserve"> </w:t>
      </w:r>
      <w:r w:rsidRPr="00A90511">
        <w:t>Policy</w:t>
      </w:r>
      <w:r w:rsidRPr="004E1A7A">
        <w:t xml:space="preserve"> </w:t>
      </w:r>
      <w:r w:rsidRPr="00A90511">
        <w:t>2021</w:t>
      </w:r>
      <w:r w:rsidR="00EA13A9">
        <w:t xml:space="preserve"> (Attachment </w:t>
      </w:r>
      <w:r w:rsidR="00D21628">
        <w:t>2)</w:t>
      </w:r>
      <w:r w:rsidRPr="00A90511">
        <w:t>.</w:t>
      </w:r>
      <w:r w:rsidRPr="004E1A7A">
        <w:t xml:space="preserve"> </w:t>
      </w:r>
      <w:r w:rsidRPr="00A90511">
        <w:t>These</w:t>
      </w:r>
      <w:r w:rsidRPr="004E1A7A">
        <w:t xml:space="preserve"> </w:t>
      </w:r>
      <w:r w:rsidRPr="00A90511">
        <w:t>policies</w:t>
      </w:r>
      <w:r w:rsidRPr="004E1A7A">
        <w:t xml:space="preserve"> </w:t>
      </w:r>
      <w:r w:rsidRPr="00A90511">
        <w:t>are</w:t>
      </w:r>
      <w:r w:rsidRPr="004E1A7A">
        <w:t xml:space="preserve"> legislatively required to be </w:t>
      </w:r>
      <w:r w:rsidRPr="00A90511">
        <w:t>reviewed</w:t>
      </w:r>
      <w:r w:rsidRPr="004E1A7A">
        <w:t xml:space="preserve"> </w:t>
      </w:r>
      <w:r w:rsidRPr="00A90511">
        <w:t>every</w:t>
      </w:r>
      <w:r w:rsidRPr="004E1A7A">
        <w:t xml:space="preserve"> </w:t>
      </w:r>
      <w:r w:rsidRPr="00A90511">
        <w:t>three</w:t>
      </w:r>
      <w:r w:rsidRPr="004E1A7A">
        <w:t xml:space="preserve"> </w:t>
      </w:r>
      <w:r w:rsidRPr="00A90511">
        <w:t>years,</w:t>
      </w:r>
      <w:r w:rsidRPr="004E1A7A">
        <w:t xml:space="preserve"> </w:t>
      </w:r>
      <w:r w:rsidRPr="00A90511">
        <w:t>with</w:t>
      </w:r>
      <w:r w:rsidRPr="004E1A7A">
        <w:t xml:space="preserve"> </w:t>
      </w:r>
      <w:r w:rsidRPr="00A90511">
        <w:t>the</w:t>
      </w:r>
      <w:r w:rsidRPr="004E1A7A">
        <w:t xml:space="preserve"> </w:t>
      </w:r>
      <w:r w:rsidRPr="00A90511">
        <w:t>last review occurring in 2021.</w:t>
      </w:r>
      <w:r>
        <w:t xml:space="preserve"> </w:t>
      </w:r>
    </w:p>
    <w:p w14:paraId="256606AC" w14:textId="77777777" w:rsidR="00E944F9" w:rsidRDefault="00E51B80" w:rsidP="0009423E">
      <w:r>
        <w:t xml:space="preserve">The Class 4 Venues policy </w:t>
      </w:r>
      <w:r w:rsidR="00EC693B">
        <w:t>sets out where venues can be licensed to have Class 4 machines (pokies)</w:t>
      </w:r>
      <w:r w:rsidR="00AE1F79">
        <w:t xml:space="preserve">, the number of machines they can have, and how licenses can be merged or relocated. The TAB Venues policy </w:t>
      </w:r>
      <w:r w:rsidR="00957751">
        <w:t xml:space="preserve">sets out where a standalone TAB venue can be located. It does not have any legislative scope to </w:t>
      </w:r>
      <w:r w:rsidR="00E944F9">
        <w:t xml:space="preserve">govern TAB terminals located inside other venues. </w:t>
      </w:r>
    </w:p>
    <w:p w14:paraId="14B6D604" w14:textId="55E1BE6E" w:rsidR="001C6DA7" w:rsidRDefault="001C6DA7" w:rsidP="0009423E">
      <w:r>
        <w:t xml:space="preserve">Council has received no applications under the Policy </w:t>
      </w:r>
      <w:r w:rsidR="005821D1">
        <w:t>in</w:t>
      </w:r>
      <w:r>
        <w:t xml:space="preserve"> the past three years. </w:t>
      </w:r>
    </w:p>
    <w:p w14:paraId="587F1E47" w14:textId="20EA567F" w:rsidR="00E9067B" w:rsidRDefault="007C5FE3" w:rsidP="00E9067B">
      <w:r w:rsidRPr="00A90511">
        <w:t>In adopting each of these policies, WDC must</w:t>
      </w:r>
      <w:r w:rsidRPr="00EC36D0">
        <w:t xml:space="preserve"> </w:t>
      </w:r>
      <w:r w:rsidRPr="00A90511">
        <w:t>have regard to the social costs and benefits of Class</w:t>
      </w:r>
      <w:r w:rsidRPr="00EC36D0">
        <w:t xml:space="preserve"> </w:t>
      </w:r>
      <w:r w:rsidRPr="00A90511">
        <w:t>4</w:t>
      </w:r>
      <w:r w:rsidRPr="00EC36D0">
        <w:t xml:space="preserve"> </w:t>
      </w:r>
      <w:r w:rsidRPr="00A90511">
        <w:t>and</w:t>
      </w:r>
      <w:r w:rsidRPr="00EC36D0">
        <w:t xml:space="preserve"> </w:t>
      </w:r>
      <w:r w:rsidRPr="00A90511">
        <w:t>stand-alone</w:t>
      </w:r>
      <w:r w:rsidRPr="00EC36D0">
        <w:t xml:space="preserve"> </w:t>
      </w:r>
      <w:r w:rsidRPr="00A90511">
        <w:t>TAB</w:t>
      </w:r>
      <w:r w:rsidRPr="00EC36D0">
        <w:t xml:space="preserve"> </w:t>
      </w:r>
      <w:r w:rsidRPr="00A90511">
        <w:t>gambling</w:t>
      </w:r>
      <w:r w:rsidRPr="00EC36D0">
        <w:t xml:space="preserve"> </w:t>
      </w:r>
      <w:r w:rsidRPr="00A90511">
        <w:t>within</w:t>
      </w:r>
      <w:r w:rsidRPr="00EC36D0">
        <w:t xml:space="preserve"> </w:t>
      </w:r>
      <w:r w:rsidRPr="00A90511">
        <w:t>its</w:t>
      </w:r>
      <w:r w:rsidRPr="00EC36D0">
        <w:t xml:space="preserve"> </w:t>
      </w:r>
      <w:r w:rsidRPr="00A90511">
        <w:t>district.</w:t>
      </w:r>
      <w:r w:rsidRPr="00EC36D0">
        <w:t xml:space="preserve"> </w:t>
      </w:r>
      <w:r w:rsidR="00045CD5">
        <w:t>A Social Impact Report</w:t>
      </w:r>
      <w:r w:rsidR="00E9067B">
        <w:t xml:space="preserve"> (SIR)</w:t>
      </w:r>
      <w:r w:rsidR="00045CD5">
        <w:t xml:space="preserve"> on Class 4 and TAB gambling has been prepared by staff and is presented as </w:t>
      </w:r>
      <w:r w:rsidR="00CC5B54">
        <w:t>Attachment 1</w:t>
      </w:r>
      <w:r w:rsidR="00045CD5">
        <w:t>.</w:t>
      </w:r>
      <w:r w:rsidR="00B473F1">
        <w:t xml:space="preserve"> </w:t>
      </w:r>
    </w:p>
    <w:p w14:paraId="68DC61C9" w14:textId="68E7040C" w:rsidR="002459D5" w:rsidRDefault="00DD6F0D" w:rsidP="00E9067B">
      <w:r>
        <w:t>There</w:t>
      </w:r>
      <w:r w:rsidR="002459D5">
        <w:t xml:space="preserve"> are currently 17 venues hosting 227 Class 4 gaming machines within the Waikato District. This is a minor reduction in venues and number of gaming machines, compared to 2021, when the Waikato District had 18 venues hosting 233 machines. </w:t>
      </w:r>
    </w:p>
    <w:p w14:paraId="5BAD72A6" w14:textId="77777777" w:rsidR="00C21B80" w:rsidRDefault="002459D5" w:rsidP="00C21B80">
      <w:r>
        <w:lastRenderedPageBreak/>
        <w:t xml:space="preserve">While the number of gambling machines has decreased slightly, expenditure has increased. </w:t>
      </w:r>
      <w:r w:rsidRPr="00DD0715">
        <w:t>In the 2023 calendar year, $10.834m was spent on gaming machines located in the Waikato District</w:t>
      </w:r>
      <w:r>
        <w:t xml:space="preserve"> (</w:t>
      </w:r>
      <w:r w:rsidRPr="00C21B80">
        <w:t>up from $9.8 million in 2019)</w:t>
      </w:r>
      <w:r w:rsidRPr="00DD0715">
        <w:t xml:space="preserve">. </w:t>
      </w:r>
    </w:p>
    <w:p w14:paraId="439BBAB3" w14:textId="2814226C" w:rsidR="00477A17" w:rsidRDefault="00477A17" w:rsidP="00045CD5">
      <w:r>
        <w:t>Three options have been identified by staff:</w:t>
      </w:r>
    </w:p>
    <w:p w14:paraId="2C0BF1CA" w14:textId="77CF5C32" w:rsidR="00477A17" w:rsidRDefault="00477A17" w:rsidP="00477A17">
      <w:pPr>
        <w:pStyle w:val="ListParagraph"/>
        <w:numPr>
          <w:ilvl w:val="0"/>
          <w:numId w:val="20"/>
        </w:numPr>
      </w:pPr>
      <w:r>
        <w:t>No change to</w:t>
      </w:r>
      <w:r w:rsidR="0033257D">
        <w:t xml:space="preserve"> the</w:t>
      </w:r>
      <w:r>
        <w:t xml:space="preserve"> Policy (</w:t>
      </w:r>
      <w:r w:rsidRPr="0033257D">
        <w:rPr>
          <w:i/>
          <w:iCs/>
        </w:rPr>
        <w:t>recommended by staff</w:t>
      </w:r>
      <w:r>
        <w:t>)</w:t>
      </w:r>
    </w:p>
    <w:p w14:paraId="13A555E0" w14:textId="52B742B9" w:rsidR="00477A17" w:rsidRDefault="00477A17" w:rsidP="00477A17">
      <w:pPr>
        <w:pStyle w:val="ListParagraph"/>
        <w:numPr>
          <w:ilvl w:val="0"/>
          <w:numId w:val="20"/>
        </w:numPr>
      </w:pPr>
      <w:r>
        <w:t>Amend the Policy, by m</w:t>
      </w:r>
      <w:r w:rsidRPr="003E4F86">
        <w:t>ov</w:t>
      </w:r>
      <w:r>
        <w:t>ing</w:t>
      </w:r>
      <w:r w:rsidRPr="003E4F86">
        <w:t xml:space="preserve"> to a “capped machine” policy</w:t>
      </w:r>
      <w:r>
        <w:t xml:space="preserve">. </w:t>
      </w:r>
    </w:p>
    <w:p w14:paraId="731E924F" w14:textId="38479D25" w:rsidR="00477A17" w:rsidRDefault="00477A17" w:rsidP="00FE5DF6">
      <w:pPr>
        <w:pStyle w:val="ListParagraph"/>
        <w:numPr>
          <w:ilvl w:val="0"/>
          <w:numId w:val="20"/>
        </w:numPr>
      </w:pPr>
      <w:r w:rsidRPr="00477A17">
        <w:rPr>
          <w:szCs w:val="18"/>
        </w:rPr>
        <w:t>Amend the Policy, by moving to a “gold-standard sinking lid” policy clause.</w:t>
      </w:r>
    </w:p>
    <w:p w14:paraId="0E1C82D8" w14:textId="397AA553" w:rsidR="004E32BD" w:rsidRPr="0009423E" w:rsidRDefault="004E32BD" w:rsidP="00477A17">
      <w:pPr>
        <w:rPr>
          <w:rFonts w:eastAsia="Calibri"/>
          <w:lang w:eastAsia="en-NZ"/>
        </w:rPr>
      </w:pPr>
      <w:r>
        <w:t xml:space="preserve">Following this </w:t>
      </w:r>
      <w:r w:rsidR="00765228">
        <w:rPr>
          <w:szCs w:val="18"/>
        </w:rPr>
        <w:t>feedback from Council</w:t>
      </w:r>
      <w:r>
        <w:rPr>
          <w:szCs w:val="18"/>
        </w:rPr>
        <w:t xml:space="preserve">, the proposed </w:t>
      </w:r>
      <w:r w:rsidR="0033257D">
        <w:rPr>
          <w:szCs w:val="18"/>
        </w:rPr>
        <w:t>P</w:t>
      </w:r>
      <w:r>
        <w:rPr>
          <w:szCs w:val="18"/>
        </w:rPr>
        <w:t>olicy will be brought to</w:t>
      </w:r>
      <w:r w:rsidR="00765228">
        <w:rPr>
          <w:szCs w:val="18"/>
        </w:rPr>
        <w:t xml:space="preserve"> </w:t>
      </w:r>
      <w:r w:rsidR="003F5595">
        <w:rPr>
          <w:szCs w:val="18"/>
        </w:rPr>
        <w:t xml:space="preserve">the </w:t>
      </w:r>
      <w:r w:rsidR="00765228">
        <w:rPr>
          <w:szCs w:val="18"/>
        </w:rPr>
        <w:t>June Policy and Regu</w:t>
      </w:r>
      <w:r w:rsidR="00477A17">
        <w:rPr>
          <w:szCs w:val="18"/>
        </w:rPr>
        <w:t>l</w:t>
      </w:r>
      <w:r w:rsidR="00765228">
        <w:rPr>
          <w:szCs w:val="18"/>
        </w:rPr>
        <w:t>atory Committee for approval to consult in</w:t>
      </w:r>
      <w:r w:rsidRPr="003E4F86">
        <w:rPr>
          <w:szCs w:val="18"/>
        </w:rPr>
        <w:t xml:space="preserve"> in June/July 2024.</w:t>
      </w:r>
    </w:p>
    <w:p w14:paraId="2B108F14" w14:textId="77777777" w:rsidR="00675E7C" w:rsidRPr="00455584" w:rsidRDefault="00675E7C" w:rsidP="00B573AA">
      <w:pPr>
        <w:pStyle w:val="Heading1"/>
        <w:pBdr>
          <w:bottom w:val="single" w:sz="4" w:space="1" w:color="auto"/>
        </w:pBdr>
        <w:spacing w:line="240" w:lineRule="auto"/>
        <w:rPr>
          <w:rFonts w:cs="Open Sans"/>
          <w:bCs/>
          <w:iCs/>
          <w:smallCaps/>
          <w:color w:val="0085AD"/>
          <w:szCs w:val="28"/>
        </w:rPr>
      </w:pPr>
      <w:bookmarkStart w:id="9" w:name="_Hlk81542847"/>
      <w:bookmarkEnd w:id="8"/>
      <w:r w:rsidRPr="00455584">
        <w:rPr>
          <w:rFonts w:cs="Open Sans"/>
          <w:bCs/>
          <w:iCs/>
          <w:color w:val="0085AD"/>
          <w:szCs w:val="28"/>
        </w:rPr>
        <w:t>Background</w:t>
      </w:r>
      <w:r w:rsidR="00B573AA" w:rsidRPr="00B573AA">
        <w:rPr>
          <w:rFonts w:cs="Open Sans"/>
          <w:bCs/>
          <w:iCs/>
          <w:color w:val="0085AD"/>
          <w:szCs w:val="28"/>
        </w:rPr>
        <w:t xml:space="preserve"> </w:t>
      </w:r>
      <w:r w:rsidR="00B573AA">
        <w:rPr>
          <w:rFonts w:cs="Open Sans"/>
          <w:bCs/>
          <w:iCs/>
          <w:color w:val="0085AD"/>
          <w:szCs w:val="28"/>
        </w:rPr>
        <w:br/>
      </w:r>
      <w:proofErr w:type="spellStart"/>
      <w:r w:rsidR="00B573AA" w:rsidRPr="00B573AA">
        <w:rPr>
          <w:rFonts w:cs="Open Sans"/>
          <w:bCs/>
          <w:iCs/>
          <w:color w:val="00B2EA"/>
          <w:szCs w:val="28"/>
        </w:rPr>
        <w:t>Koorero</w:t>
      </w:r>
      <w:proofErr w:type="spellEnd"/>
      <w:r w:rsidR="00B573AA" w:rsidRPr="00B573AA">
        <w:rPr>
          <w:rFonts w:cs="Open Sans"/>
          <w:bCs/>
          <w:iCs/>
          <w:color w:val="00B2EA"/>
          <w:szCs w:val="28"/>
        </w:rPr>
        <w:t xml:space="preserve"> </w:t>
      </w:r>
      <w:proofErr w:type="spellStart"/>
      <w:r w:rsidR="00F74CB0">
        <w:rPr>
          <w:rFonts w:cs="Open Sans"/>
          <w:bCs/>
          <w:iCs/>
          <w:color w:val="00B2EA"/>
          <w:szCs w:val="28"/>
        </w:rPr>
        <w:t>w</w:t>
      </w:r>
      <w:r w:rsidR="00B573AA" w:rsidRPr="00B573AA">
        <w:rPr>
          <w:rFonts w:cs="Open Sans"/>
          <w:bCs/>
          <w:iCs/>
          <w:color w:val="00B2EA"/>
          <w:szCs w:val="28"/>
        </w:rPr>
        <w:t>haimaarama</w:t>
      </w:r>
      <w:proofErr w:type="spellEnd"/>
    </w:p>
    <w:p w14:paraId="18CAB2C6" w14:textId="6313DF23" w:rsidR="002F1704" w:rsidRPr="00A90511" w:rsidRDefault="002F1704" w:rsidP="002F1704">
      <w:pPr>
        <w:pStyle w:val="BodyText"/>
        <w:ind w:left="0" w:right="443"/>
      </w:pPr>
      <w:bookmarkStart w:id="10" w:name="_Taataritanga_me_ngaa"/>
      <w:bookmarkEnd w:id="9"/>
      <w:bookmarkEnd w:id="10"/>
      <w:r w:rsidRPr="00A90511">
        <w:t>Waikato District Council (</w:t>
      </w:r>
      <w:r w:rsidR="003E4F86">
        <w:t>Council</w:t>
      </w:r>
      <w:r w:rsidRPr="00A90511">
        <w:t xml:space="preserve">) must adopt a policy on Class 4 gambling venues in accordance with the Gambling Act 2003 </w:t>
      </w:r>
      <w:r w:rsidR="00633B88">
        <w:t>(GA 2003)</w:t>
      </w:r>
      <w:r w:rsidRPr="00A90511">
        <w:t xml:space="preserve"> every </w:t>
      </w:r>
      <w:r w:rsidR="00253D13">
        <w:t>three</w:t>
      </w:r>
      <w:r w:rsidRPr="00A90511">
        <w:t xml:space="preserve"> years. The policy must specify whether</w:t>
      </w:r>
      <w:r w:rsidRPr="00A90511">
        <w:rPr>
          <w:spacing w:val="-10"/>
        </w:rPr>
        <w:t xml:space="preserve"> </w:t>
      </w:r>
      <w:r w:rsidRPr="00A90511">
        <w:t>Class</w:t>
      </w:r>
      <w:r w:rsidRPr="00A90511">
        <w:rPr>
          <w:spacing w:val="-8"/>
        </w:rPr>
        <w:t xml:space="preserve"> </w:t>
      </w:r>
      <w:r w:rsidRPr="00A90511">
        <w:t>4</w:t>
      </w:r>
      <w:r w:rsidRPr="00A90511">
        <w:rPr>
          <w:spacing w:val="-9"/>
        </w:rPr>
        <w:t xml:space="preserve"> </w:t>
      </w:r>
      <w:r w:rsidRPr="00A90511">
        <w:t>venues</w:t>
      </w:r>
      <w:r>
        <w:t xml:space="preserve"> </w:t>
      </w:r>
      <w:r w:rsidR="00CA6E08" w:rsidRPr="00A90511">
        <w:t>(electric</w:t>
      </w:r>
      <w:r w:rsidR="00CA6E08" w:rsidRPr="00A90511">
        <w:rPr>
          <w:spacing w:val="-17"/>
        </w:rPr>
        <w:t xml:space="preserve"> </w:t>
      </w:r>
      <w:r w:rsidR="00CA6E08" w:rsidRPr="00A90511">
        <w:t xml:space="preserve">gaming machines such as pokies and slot machines) </w:t>
      </w:r>
      <w:r w:rsidRPr="00A90511">
        <w:t>may</w:t>
      </w:r>
      <w:r w:rsidRPr="00A90511">
        <w:rPr>
          <w:spacing w:val="-8"/>
        </w:rPr>
        <w:t xml:space="preserve"> </w:t>
      </w:r>
      <w:r w:rsidRPr="00A90511">
        <w:t>be</w:t>
      </w:r>
      <w:r w:rsidRPr="00A90511">
        <w:rPr>
          <w:spacing w:val="-9"/>
        </w:rPr>
        <w:t xml:space="preserve"> </w:t>
      </w:r>
      <w:r w:rsidRPr="00A90511">
        <w:t>established</w:t>
      </w:r>
      <w:r w:rsidRPr="00A90511">
        <w:rPr>
          <w:spacing w:val="-9"/>
        </w:rPr>
        <w:t xml:space="preserve"> </w:t>
      </w:r>
      <w:r w:rsidRPr="00A90511">
        <w:t>in</w:t>
      </w:r>
      <w:r w:rsidRPr="00A90511">
        <w:rPr>
          <w:spacing w:val="-11"/>
        </w:rPr>
        <w:t xml:space="preserve"> </w:t>
      </w:r>
      <w:r w:rsidRPr="00A90511">
        <w:t>the</w:t>
      </w:r>
      <w:r w:rsidRPr="00A90511">
        <w:rPr>
          <w:spacing w:val="-10"/>
        </w:rPr>
        <w:t xml:space="preserve"> </w:t>
      </w:r>
      <w:r w:rsidRPr="00A90511">
        <w:t>district</w:t>
      </w:r>
      <w:r w:rsidRPr="00A90511">
        <w:rPr>
          <w:spacing w:val="-9"/>
        </w:rPr>
        <w:t xml:space="preserve"> </w:t>
      </w:r>
      <w:r w:rsidRPr="00A90511">
        <w:t>and,</w:t>
      </w:r>
      <w:r w:rsidRPr="00A90511">
        <w:rPr>
          <w:spacing w:val="-9"/>
        </w:rPr>
        <w:t xml:space="preserve"> </w:t>
      </w:r>
      <w:r w:rsidRPr="00A90511">
        <w:t>if</w:t>
      </w:r>
      <w:r w:rsidRPr="00A90511">
        <w:rPr>
          <w:spacing w:val="-11"/>
        </w:rPr>
        <w:t xml:space="preserve"> </w:t>
      </w:r>
      <w:r w:rsidRPr="00A90511">
        <w:t>so,</w:t>
      </w:r>
      <w:r w:rsidRPr="00A90511">
        <w:rPr>
          <w:spacing w:val="-9"/>
        </w:rPr>
        <w:t xml:space="preserve"> </w:t>
      </w:r>
      <w:r w:rsidRPr="00A90511">
        <w:t>where</w:t>
      </w:r>
      <w:r w:rsidRPr="00A90511">
        <w:rPr>
          <w:spacing w:val="-9"/>
        </w:rPr>
        <w:t xml:space="preserve"> </w:t>
      </w:r>
      <w:r w:rsidRPr="00A90511">
        <w:t>they</w:t>
      </w:r>
      <w:r w:rsidRPr="00A90511">
        <w:rPr>
          <w:spacing w:val="-14"/>
        </w:rPr>
        <w:t xml:space="preserve"> </w:t>
      </w:r>
      <w:r w:rsidRPr="00A90511">
        <w:t>may</w:t>
      </w:r>
      <w:r w:rsidRPr="00A90511">
        <w:rPr>
          <w:spacing w:val="-8"/>
        </w:rPr>
        <w:t xml:space="preserve"> </w:t>
      </w:r>
      <w:r w:rsidRPr="00A90511">
        <w:t>be</w:t>
      </w:r>
      <w:r w:rsidRPr="00A90511">
        <w:rPr>
          <w:spacing w:val="-9"/>
        </w:rPr>
        <w:t xml:space="preserve"> </w:t>
      </w:r>
      <w:r w:rsidRPr="00A90511">
        <w:t>located.</w:t>
      </w:r>
      <w:r w:rsidRPr="00A90511">
        <w:rPr>
          <w:spacing w:val="-9"/>
        </w:rPr>
        <w:t xml:space="preserve"> </w:t>
      </w:r>
      <w:r w:rsidRPr="00A90511">
        <w:t>The policy</w:t>
      </w:r>
      <w:r w:rsidRPr="00A90511">
        <w:rPr>
          <w:spacing w:val="-2"/>
        </w:rPr>
        <w:t xml:space="preserve"> </w:t>
      </w:r>
      <w:r w:rsidRPr="00A90511">
        <w:t>may</w:t>
      </w:r>
      <w:r w:rsidRPr="00A90511">
        <w:rPr>
          <w:spacing w:val="-2"/>
        </w:rPr>
        <w:t xml:space="preserve"> </w:t>
      </w:r>
      <w:r w:rsidRPr="00A90511">
        <w:t>also</w:t>
      </w:r>
      <w:r w:rsidRPr="00A90511">
        <w:rPr>
          <w:spacing w:val="-2"/>
        </w:rPr>
        <w:t xml:space="preserve"> </w:t>
      </w:r>
      <w:r w:rsidRPr="00A90511">
        <w:t>specify</w:t>
      </w:r>
      <w:r w:rsidRPr="00A90511">
        <w:rPr>
          <w:spacing w:val="-2"/>
        </w:rPr>
        <w:t xml:space="preserve"> </w:t>
      </w:r>
      <w:r w:rsidRPr="00A90511">
        <w:t>restrictions</w:t>
      </w:r>
      <w:r w:rsidRPr="00A90511">
        <w:rPr>
          <w:spacing w:val="-1"/>
        </w:rPr>
        <w:t xml:space="preserve"> </w:t>
      </w:r>
      <w:r w:rsidRPr="00A90511">
        <w:t>on</w:t>
      </w:r>
      <w:r w:rsidRPr="00A90511">
        <w:rPr>
          <w:spacing w:val="-2"/>
        </w:rPr>
        <w:t xml:space="preserve"> </w:t>
      </w:r>
      <w:r w:rsidRPr="00A90511">
        <w:t>the</w:t>
      </w:r>
      <w:r w:rsidRPr="00A90511">
        <w:rPr>
          <w:spacing w:val="-2"/>
        </w:rPr>
        <w:t xml:space="preserve"> </w:t>
      </w:r>
      <w:r w:rsidRPr="00A90511">
        <w:t>maximum</w:t>
      </w:r>
      <w:r w:rsidRPr="00A90511">
        <w:rPr>
          <w:spacing w:val="-2"/>
        </w:rPr>
        <w:t xml:space="preserve"> </w:t>
      </w:r>
      <w:r w:rsidRPr="00A90511">
        <w:t>number</w:t>
      </w:r>
      <w:r w:rsidRPr="00A90511">
        <w:rPr>
          <w:spacing w:val="-1"/>
        </w:rPr>
        <w:t xml:space="preserve"> </w:t>
      </w:r>
      <w:r w:rsidRPr="00A90511">
        <w:t>of</w:t>
      </w:r>
      <w:r w:rsidRPr="00A90511">
        <w:rPr>
          <w:spacing w:val="-2"/>
        </w:rPr>
        <w:t xml:space="preserve"> </w:t>
      </w:r>
      <w:r w:rsidRPr="00A90511">
        <w:t>gaming</w:t>
      </w:r>
      <w:r w:rsidRPr="00A90511">
        <w:rPr>
          <w:spacing w:val="-1"/>
        </w:rPr>
        <w:t xml:space="preserve"> </w:t>
      </w:r>
      <w:r w:rsidRPr="00A90511">
        <w:t>machines</w:t>
      </w:r>
      <w:r w:rsidRPr="00A90511">
        <w:rPr>
          <w:spacing w:val="-1"/>
        </w:rPr>
        <w:t xml:space="preserve"> </w:t>
      </w:r>
      <w:r w:rsidRPr="00A90511">
        <w:t>that</w:t>
      </w:r>
      <w:r w:rsidRPr="00A90511">
        <w:rPr>
          <w:spacing w:val="-2"/>
        </w:rPr>
        <w:t xml:space="preserve"> </w:t>
      </w:r>
      <w:r w:rsidRPr="00A90511">
        <w:t>may</w:t>
      </w:r>
      <w:r w:rsidRPr="00A90511">
        <w:rPr>
          <w:spacing w:val="-2"/>
        </w:rPr>
        <w:t xml:space="preserve"> </w:t>
      </w:r>
      <w:r w:rsidRPr="00A90511">
        <w:t xml:space="preserve">be operated at a Class 4 venue and may specify whether venues can relocate in the Waikato </w:t>
      </w:r>
      <w:r w:rsidRPr="00A90511">
        <w:rPr>
          <w:spacing w:val="-2"/>
        </w:rPr>
        <w:t>District.</w:t>
      </w:r>
    </w:p>
    <w:p w14:paraId="2EB4A63F" w14:textId="63B10E1A" w:rsidR="002F1704" w:rsidRPr="00A90511" w:rsidRDefault="002F1704" w:rsidP="002F1704">
      <w:pPr>
        <w:pStyle w:val="BodyText"/>
        <w:ind w:left="0" w:right="453"/>
      </w:pPr>
      <w:r w:rsidRPr="00A90511">
        <w:t xml:space="preserve">WDC must also adopt a TAB Venue policy in accordance with the Racing </w:t>
      </w:r>
      <w:r w:rsidR="003B4894">
        <w:t>Industry</w:t>
      </w:r>
      <w:r w:rsidRPr="00A90511">
        <w:t xml:space="preserve"> Act </w:t>
      </w:r>
      <w:r w:rsidR="00633B88">
        <w:t>2020 (R</w:t>
      </w:r>
      <w:r w:rsidR="003B4894">
        <w:t>I</w:t>
      </w:r>
      <w:r w:rsidR="00633B88">
        <w:t>A 2020)</w:t>
      </w:r>
      <w:r w:rsidRPr="00A90511">
        <w:t>. The policy must specify whether the TAB may establish new stand-alone TAB venues (i.e. the policy does not deal with TAB terminals in pubs and clubs) in the district and, if so, where they may be located.</w:t>
      </w:r>
    </w:p>
    <w:p w14:paraId="24AAB45E" w14:textId="6D7F1CE4" w:rsidR="002F1704" w:rsidRPr="00A90511" w:rsidRDefault="003E4F86" w:rsidP="002F1704">
      <w:pPr>
        <w:pStyle w:val="BodyText"/>
        <w:ind w:left="0" w:right="449"/>
      </w:pPr>
      <w:r>
        <w:t>Council</w:t>
      </w:r>
      <w:r w:rsidR="002F1704" w:rsidRPr="00A90511">
        <w:t xml:space="preserve"> have implemented the Gambling Venues Policy</w:t>
      </w:r>
      <w:r>
        <w:t>, which is</w:t>
      </w:r>
      <w:r w:rsidR="002F1704" w:rsidRPr="00A90511">
        <w:t xml:space="preserve"> one document that contains both the Class</w:t>
      </w:r>
      <w:r w:rsidR="002F1704" w:rsidRPr="00A90511">
        <w:rPr>
          <w:spacing w:val="-14"/>
        </w:rPr>
        <w:t xml:space="preserve"> </w:t>
      </w:r>
      <w:r w:rsidR="002F1704" w:rsidRPr="00A90511">
        <w:t>4</w:t>
      </w:r>
      <w:r w:rsidR="002F1704" w:rsidRPr="00A90511">
        <w:rPr>
          <w:spacing w:val="-14"/>
        </w:rPr>
        <w:t xml:space="preserve"> </w:t>
      </w:r>
      <w:r w:rsidR="002F1704" w:rsidRPr="00A90511">
        <w:t>Venue</w:t>
      </w:r>
      <w:r w:rsidR="002F1704" w:rsidRPr="00A90511">
        <w:rPr>
          <w:spacing w:val="-13"/>
        </w:rPr>
        <w:t xml:space="preserve"> </w:t>
      </w:r>
      <w:r w:rsidR="002F1704" w:rsidRPr="00A90511">
        <w:t>Policy</w:t>
      </w:r>
      <w:r w:rsidR="002F1704" w:rsidRPr="00A90511">
        <w:rPr>
          <w:spacing w:val="-13"/>
        </w:rPr>
        <w:t xml:space="preserve"> </w:t>
      </w:r>
      <w:r w:rsidR="002F1704" w:rsidRPr="00A90511">
        <w:t>and</w:t>
      </w:r>
      <w:r w:rsidR="002F1704" w:rsidRPr="00A90511">
        <w:rPr>
          <w:spacing w:val="-13"/>
        </w:rPr>
        <w:t xml:space="preserve"> </w:t>
      </w:r>
      <w:r w:rsidR="002F1704" w:rsidRPr="00A90511">
        <w:t>the</w:t>
      </w:r>
      <w:r w:rsidR="002F1704" w:rsidRPr="00A90511">
        <w:rPr>
          <w:spacing w:val="-14"/>
        </w:rPr>
        <w:t xml:space="preserve"> </w:t>
      </w:r>
      <w:r w:rsidR="002F1704" w:rsidRPr="00A90511">
        <w:t>TAB</w:t>
      </w:r>
      <w:r w:rsidR="002F1704" w:rsidRPr="00A90511">
        <w:rPr>
          <w:spacing w:val="-14"/>
        </w:rPr>
        <w:t xml:space="preserve"> </w:t>
      </w:r>
      <w:r w:rsidR="002F1704" w:rsidRPr="00A90511">
        <w:t>Venues</w:t>
      </w:r>
      <w:r w:rsidR="002F1704" w:rsidRPr="00A90511">
        <w:rPr>
          <w:spacing w:val="-12"/>
        </w:rPr>
        <w:t xml:space="preserve"> </w:t>
      </w:r>
      <w:r w:rsidR="002F1704" w:rsidRPr="00A90511">
        <w:t>Policy.</w:t>
      </w:r>
      <w:r w:rsidR="002F1704" w:rsidRPr="00A90511">
        <w:rPr>
          <w:spacing w:val="-14"/>
        </w:rPr>
        <w:t xml:space="preserve"> </w:t>
      </w:r>
      <w:r w:rsidR="002F1704" w:rsidRPr="00A90511">
        <w:t>The</w:t>
      </w:r>
      <w:r w:rsidR="002F1704" w:rsidRPr="00A90511">
        <w:rPr>
          <w:spacing w:val="-14"/>
        </w:rPr>
        <w:t xml:space="preserve"> </w:t>
      </w:r>
      <w:r w:rsidR="002F1704" w:rsidRPr="00A90511">
        <w:t>policy</w:t>
      </w:r>
      <w:r w:rsidR="002F1704" w:rsidRPr="00A90511">
        <w:rPr>
          <w:spacing w:val="-13"/>
        </w:rPr>
        <w:t xml:space="preserve"> </w:t>
      </w:r>
      <w:r w:rsidR="002F1704" w:rsidRPr="00A90511">
        <w:t>is</w:t>
      </w:r>
      <w:r w:rsidR="002F1704" w:rsidRPr="00A90511">
        <w:rPr>
          <w:spacing w:val="-13"/>
        </w:rPr>
        <w:t xml:space="preserve"> </w:t>
      </w:r>
      <w:r w:rsidR="002F1704" w:rsidRPr="00A90511">
        <w:t>required</w:t>
      </w:r>
      <w:r w:rsidR="002F1704" w:rsidRPr="00A90511">
        <w:rPr>
          <w:spacing w:val="-14"/>
        </w:rPr>
        <w:t xml:space="preserve"> </w:t>
      </w:r>
      <w:r w:rsidR="002F1704" w:rsidRPr="00A90511">
        <w:t>to</w:t>
      </w:r>
      <w:r w:rsidR="002F1704" w:rsidRPr="00A90511">
        <w:rPr>
          <w:spacing w:val="-17"/>
        </w:rPr>
        <w:t xml:space="preserve"> </w:t>
      </w:r>
      <w:r w:rsidR="002F1704" w:rsidRPr="00A90511">
        <w:t>be</w:t>
      </w:r>
      <w:r w:rsidR="002F1704" w:rsidRPr="00A90511">
        <w:rPr>
          <w:spacing w:val="-14"/>
        </w:rPr>
        <w:t xml:space="preserve"> </w:t>
      </w:r>
      <w:r w:rsidR="002F1704" w:rsidRPr="00A90511">
        <w:t>reviewed</w:t>
      </w:r>
      <w:r w:rsidR="002F1704" w:rsidRPr="00A90511">
        <w:rPr>
          <w:spacing w:val="-14"/>
        </w:rPr>
        <w:t xml:space="preserve"> </w:t>
      </w:r>
      <w:r w:rsidR="002F1704" w:rsidRPr="00A90511">
        <w:t>every three years, with the last review occurring in 20</w:t>
      </w:r>
      <w:r>
        <w:t>21</w:t>
      </w:r>
      <w:r w:rsidR="002F1704" w:rsidRPr="00A90511">
        <w:t>.</w:t>
      </w:r>
    </w:p>
    <w:p w14:paraId="61569806" w14:textId="7C3EF1AE" w:rsidR="00A26954" w:rsidRPr="00A90511" w:rsidRDefault="00A26954" w:rsidP="002F1704">
      <w:pPr>
        <w:pStyle w:val="BodyText"/>
        <w:ind w:left="0" w:right="446"/>
      </w:pPr>
      <w:r w:rsidRPr="00A90511">
        <w:t>The four main types of gambling in New Zealand are casino gambling, NZ Lotteries, stand-alone</w:t>
      </w:r>
      <w:r w:rsidRPr="00A90511">
        <w:rPr>
          <w:spacing w:val="-17"/>
        </w:rPr>
        <w:t xml:space="preserve"> </w:t>
      </w:r>
      <w:r w:rsidRPr="00A90511">
        <w:t>TAB</w:t>
      </w:r>
      <w:r w:rsidRPr="00A90511">
        <w:rPr>
          <w:spacing w:val="-17"/>
        </w:rPr>
        <w:t xml:space="preserve"> </w:t>
      </w:r>
      <w:r w:rsidRPr="00A90511">
        <w:t>gambling</w:t>
      </w:r>
      <w:r w:rsidRPr="00A90511">
        <w:rPr>
          <w:spacing w:val="-17"/>
        </w:rPr>
        <w:t xml:space="preserve"> </w:t>
      </w:r>
      <w:r w:rsidRPr="00A90511">
        <w:t>and</w:t>
      </w:r>
      <w:r w:rsidRPr="00A90511">
        <w:rPr>
          <w:spacing w:val="-16"/>
        </w:rPr>
        <w:t xml:space="preserve"> </w:t>
      </w:r>
      <w:r w:rsidRPr="00015F55">
        <w:t xml:space="preserve">Class </w:t>
      </w:r>
      <w:r w:rsidRPr="00A90511">
        <w:t>4</w:t>
      </w:r>
      <w:r w:rsidRPr="00015F55">
        <w:t xml:space="preserve"> </w:t>
      </w:r>
      <w:r w:rsidRPr="00A90511">
        <w:t>gambling</w:t>
      </w:r>
      <w:r w:rsidRPr="00A90511">
        <w:rPr>
          <w:spacing w:val="-16"/>
        </w:rPr>
        <w:t xml:space="preserve"> </w:t>
      </w:r>
      <w:r w:rsidRPr="00A90511">
        <w:t>in pubs and clubs. Casino gambling and NZ Lotteries</w:t>
      </w:r>
      <w:r w:rsidRPr="00A90511">
        <w:rPr>
          <w:spacing w:val="-4"/>
        </w:rPr>
        <w:t xml:space="preserve"> </w:t>
      </w:r>
      <w:r w:rsidRPr="00A90511">
        <w:t>are</w:t>
      </w:r>
      <w:r w:rsidRPr="00A90511">
        <w:rPr>
          <w:spacing w:val="-8"/>
        </w:rPr>
        <w:t xml:space="preserve"> </w:t>
      </w:r>
      <w:r w:rsidRPr="00A90511">
        <w:t>not</w:t>
      </w:r>
      <w:r w:rsidRPr="00A90511">
        <w:rPr>
          <w:spacing w:val="-7"/>
        </w:rPr>
        <w:t xml:space="preserve"> </w:t>
      </w:r>
      <w:r w:rsidRPr="00A90511">
        <w:t>considered</w:t>
      </w:r>
      <w:r w:rsidRPr="00A90511">
        <w:rPr>
          <w:spacing w:val="-5"/>
        </w:rPr>
        <w:t xml:space="preserve"> </w:t>
      </w:r>
      <w:r w:rsidRPr="00A90511">
        <w:t>to</w:t>
      </w:r>
      <w:r w:rsidRPr="00A90511">
        <w:rPr>
          <w:spacing w:val="-7"/>
        </w:rPr>
        <w:t xml:space="preserve"> </w:t>
      </w:r>
      <w:r w:rsidRPr="00A90511">
        <w:t>be</w:t>
      </w:r>
      <w:r w:rsidRPr="00A90511">
        <w:rPr>
          <w:spacing w:val="-3"/>
        </w:rPr>
        <w:t xml:space="preserve"> </w:t>
      </w:r>
      <w:r w:rsidRPr="00A90511">
        <w:t>high</w:t>
      </w:r>
      <w:r w:rsidRPr="00A90511">
        <w:rPr>
          <w:spacing w:val="-7"/>
        </w:rPr>
        <w:t xml:space="preserve"> </w:t>
      </w:r>
      <w:r w:rsidRPr="00A90511">
        <w:t>risk</w:t>
      </w:r>
      <w:r w:rsidRPr="00A90511">
        <w:rPr>
          <w:spacing w:val="-8"/>
        </w:rPr>
        <w:t xml:space="preserve"> </w:t>
      </w:r>
      <w:r w:rsidRPr="00A90511">
        <w:t>gambling</w:t>
      </w:r>
      <w:r w:rsidRPr="00A90511">
        <w:rPr>
          <w:spacing w:val="-5"/>
        </w:rPr>
        <w:t xml:space="preserve"> </w:t>
      </w:r>
      <w:r w:rsidRPr="00A90511">
        <w:t>activities</w:t>
      </w:r>
      <w:r w:rsidRPr="00A90511">
        <w:rPr>
          <w:spacing w:val="-7"/>
        </w:rPr>
        <w:t xml:space="preserve"> </w:t>
      </w:r>
      <w:r w:rsidR="00DB6CDF">
        <w:rPr>
          <w:spacing w:val="-7"/>
        </w:rPr>
        <w:t xml:space="preserve">by </w:t>
      </w:r>
      <w:r w:rsidR="00F91B38">
        <w:rPr>
          <w:spacing w:val="-7"/>
        </w:rPr>
        <w:t xml:space="preserve">the Department of Internal Affairs (DIA) </w:t>
      </w:r>
      <w:r>
        <w:rPr>
          <w:spacing w:val="-7"/>
        </w:rPr>
        <w:t>and</w:t>
      </w:r>
      <w:r w:rsidRPr="00A90511">
        <w:rPr>
          <w:spacing w:val="-7"/>
        </w:rPr>
        <w:t xml:space="preserve"> </w:t>
      </w:r>
      <w:r w:rsidRPr="00A90511">
        <w:t>are</w:t>
      </w:r>
      <w:r w:rsidRPr="00A90511">
        <w:rPr>
          <w:spacing w:val="-5"/>
        </w:rPr>
        <w:t xml:space="preserve"> </w:t>
      </w:r>
      <w:r w:rsidRPr="00A90511">
        <w:t>not</w:t>
      </w:r>
      <w:r w:rsidRPr="00A90511">
        <w:rPr>
          <w:spacing w:val="-9"/>
        </w:rPr>
        <w:t xml:space="preserve"> </w:t>
      </w:r>
      <w:r w:rsidRPr="00A90511">
        <w:t>covered</w:t>
      </w:r>
      <w:r w:rsidRPr="00A90511">
        <w:rPr>
          <w:spacing w:val="-7"/>
        </w:rPr>
        <w:t xml:space="preserve"> </w:t>
      </w:r>
      <w:r w:rsidRPr="00A90511">
        <w:t>under</w:t>
      </w:r>
      <w:r w:rsidRPr="00A90511">
        <w:rPr>
          <w:spacing w:val="-7"/>
        </w:rPr>
        <w:t xml:space="preserve"> </w:t>
      </w:r>
      <w:r w:rsidRPr="00A90511">
        <w:t>the policy.</w:t>
      </w:r>
      <w:r w:rsidRPr="00A90511">
        <w:rPr>
          <w:spacing w:val="-2"/>
        </w:rPr>
        <w:t xml:space="preserve"> </w:t>
      </w:r>
      <w:r w:rsidRPr="00A90511">
        <w:t>Class</w:t>
      </w:r>
      <w:r w:rsidRPr="00A90511">
        <w:rPr>
          <w:spacing w:val="-4"/>
        </w:rPr>
        <w:t xml:space="preserve"> </w:t>
      </w:r>
      <w:r w:rsidRPr="00A90511">
        <w:t>4</w:t>
      </w:r>
      <w:r w:rsidRPr="00A90511">
        <w:rPr>
          <w:spacing w:val="-2"/>
        </w:rPr>
        <w:t xml:space="preserve"> </w:t>
      </w:r>
      <w:r w:rsidRPr="00A90511">
        <w:t>gambling</w:t>
      </w:r>
      <w:r w:rsidRPr="00A90511">
        <w:rPr>
          <w:spacing w:val="-4"/>
        </w:rPr>
        <w:t xml:space="preserve"> </w:t>
      </w:r>
      <w:r w:rsidRPr="00A90511">
        <w:t>machines</w:t>
      </w:r>
      <w:r w:rsidRPr="00A90511">
        <w:rPr>
          <w:spacing w:val="-3"/>
        </w:rPr>
        <w:t xml:space="preserve"> </w:t>
      </w:r>
      <w:r w:rsidRPr="00A90511">
        <w:t>and</w:t>
      </w:r>
      <w:r w:rsidRPr="00A90511">
        <w:rPr>
          <w:spacing w:val="-4"/>
        </w:rPr>
        <w:t xml:space="preserve"> </w:t>
      </w:r>
      <w:r w:rsidRPr="00A90511">
        <w:t>stand-alone</w:t>
      </w:r>
      <w:r w:rsidRPr="00A90511">
        <w:rPr>
          <w:spacing w:val="-2"/>
        </w:rPr>
        <w:t xml:space="preserve"> </w:t>
      </w:r>
      <w:r w:rsidRPr="00A90511">
        <w:t>TAB</w:t>
      </w:r>
      <w:r w:rsidRPr="00A90511">
        <w:rPr>
          <w:spacing w:val="-3"/>
        </w:rPr>
        <w:t xml:space="preserve"> </w:t>
      </w:r>
      <w:r w:rsidRPr="00A90511">
        <w:t>gambling</w:t>
      </w:r>
      <w:r w:rsidRPr="00A90511">
        <w:rPr>
          <w:spacing w:val="-4"/>
        </w:rPr>
        <w:t xml:space="preserve"> </w:t>
      </w:r>
      <w:r w:rsidRPr="00A90511">
        <w:t>venues</w:t>
      </w:r>
      <w:r w:rsidRPr="00A90511">
        <w:rPr>
          <w:spacing w:val="-2"/>
        </w:rPr>
        <w:t xml:space="preserve"> </w:t>
      </w:r>
      <w:r w:rsidRPr="00A90511">
        <w:t>are high-risk, high expenditure gambling and are regulated under the policy.</w:t>
      </w:r>
    </w:p>
    <w:p w14:paraId="3FCE0242" w14:textId="77777777" w:rsidR="00A26954" w:rsidRPr="00A90511" w:rsidRDefault="00A26954" w:rsidP="002F1704">
      <w:pPr>
        <w:pStyle w:val="BodyText"/>
        <w:spacing w:before="276"/>
        <w:ind w:left="0" w:right="446"/>
      </w:pPr>
      <w:r w:rsidRPr="00A90511">
        <w:t>The</w:t>
      </w:r>
      <w:r w:rsidRPr="00A90511">
        <w:rPr>
          <w:spacing w:val="-7"/>
        </w:rPr>
        <w:t xml:space="preserve"> </w:t>
      </w:r>
      <w:r w:rsidRPr="00A90511">
        <w:t>objectives</w:t>
      </w:r>
      <w:r w:rsidRPr="00A90511">
        <w:rPr>
          <w:spacing w:val="-6"/>
        </w:rPr>
        <w:t xml:space="preserve"> </w:t>
      </w:r>
      <w:r w:rsidRPr="00A90511">
        <w:t>of</w:t>
      </w:r>
      <w:r w:rsidRPr="00A90511">
        <w:rPr>
          <w:spacing w:val="-7"/>
        </w:rPr>
        <w:t xml:space="preserve"> </w:t>
      </w:r>
      <w:r w:rsidRPr="00A90511">
        <w:t>the</w:t>
      </w:r>
      <w:r w:rsidRPr="00A90511">
        <w:rPr>
          <w:spacing w:val="-7"/>
        </w:rPr>
        <w:t xml:space="preserve"> </w:t>
      </w:r>
      <w:r w:rsidRPr="00A90511">
        <w:t>current</w:t>
      </w:r>
      <w:r w:rsidRPr="00A90511">
        <w:rPr>
          <w:spacing w:val="-7"/>
        </w:rPr>
        <w:t xml:space="preserve"> </w:t>
      </w:r>
      <w:r w:rsidRPr="00A90511">
        <w:t>Class</w:t>
      </w:r>
      <w:r w:rsidRPr="00A90511">
        <w:rPr>
          <w:spacing w:val="-6"/>
        </w:rPr>
        <w:t xml:space="preserve"> </w:t>
      </w:r>
      <w:r w:rsidRPr="00A90511">
        <w:t>4</w:t>
      </w:r>
      <w:r w:rsidRPr="00A90511">
        <w:rPr>
          <w:spacing w:val="-9"/>
        </w:rPr>
        <w:t xml:space="preserve"> </w:t>
      </w:r>
      <w:r w:rsidRPr="00A90511">
        <w:t>Venue</w:t>
      </w:r>
      <w:r w:rsidRPr="00A90511">
        <w:rPr>
          <w:spacing w:val="-5"/>
        </w:rPr>
        <w:t xml:space="preserve"> </w:t>
      </w:r>
      <w:r w:rsidRPr="00A90511">
        <w:t>Policy</w:t>
      </w:r>
      <w:r w:rsidRPr="00A90511">
        <w:rPr>
          <w:spacing w:val="-6"/>
        </w:rPr>
        <w:t xml:space="preserve"> </w:t>
      </w:r>
      <w:r w:rsidRPr="00A90511">
        <w:t>and</w:t>
      </w:r>
      <w:r w:rsidRPr="00A90511">
        <w:rPr>
          <w:spacing w:val="-6"/>
        </w:rPr>
        <w:t xml:space="preserve"> </w:t>
      </w:r>
      <w:r w:rsidRPr="00A90511">
        <w:t>TAB</w:t>
      </w:r>
      <w:r w:rsidRPr="00A90511">
        <w:rPr>
          <w:spacing w:val="-9"/>
        </w:rPr>
        <w:t xml:space="preserve"> </w:t>
      </w:r>
      <w:r w:rsidRPr="00A90511">
        <w:t>Venues</w:t>
      </w:r>
      <w:r w:rsidRPr="00A90511">
        <w:rPr>
          <w:spacing w:val="-5"/>
        </w:rPr>
        <w:t xml:space="preserve"> </w:t>
      </w:r>
      <w:r w:rsidRPr="00A90511">
        <w:t>Policy</w:t>
      </w:r>
      <w:r w:rsidRPr="00A90511">
        <w:rPr>
          <w:spacing w:val="-6"/>
        </w:rPr>
        <w:t xml:space="preserve"> </w:t>
      </w:r>
      <w:r w:rsidRPr="00A90511">
        <w:t>are</w:t>
      </w:r>
      <w:r w:rsidRPr="00A90511">
        <w:rPr>
          <w:spacing w:val="-8"/>
        </w:rPr>
        <w:t xml:space="preserve"> </w:t>
      </w:r>
      <w:r w:rsidRPr="00A90511">
        <w:t>to:</w:t>
      </w:r>
    </w:p>
    <w:p w14:paraId="5D3979D6" w14:textId="7B0AD536" w:rsidR="00A26954" w:rsidRPr="00A90511" w:rsidRDefault="00A26954" w:rsidP="00777446">
      <w:pPr>
        <w:pStyle w:val="BodyText"/>
        <w:widowControl w:val="0"/>
        <w:numPr>
          <w:ilvl w:val="0"/>
          <w:numId w:val="14"/>
        </w:numPr>
        <w:autoSpaceDE w:val="0"/>
        <w:autoSpaceDN w:val="0"/>
        <w:spacing w:after="0"/>
        <w:ind w:left="851" w:right="446"/>
      </w:pPr>
      <w:r w:rsidRPr="00A90511">
        <w:t>control</w:t>
      </w:r>
      <w:r w:rsidRPr="00A90511">
        <w:rPr>
          <w:spacing w:val="-7"/>
        </w:rPr>
        <w:t xml:space="preserve"> </w:t>
      </w:r>
      <w:r w:rsidRPr="00A90511">
        <w:t>the growth</w:t>
      </w:r>
      <w:r w:rsidRPr="00A90511">
        <w:rPr>
          <w:spacing w:val="-2"/>
        </w:rPr>
        <w:t xml:space="preserve"> </w:t>
      </w:r>
      <w:r w:rsidRPr="00A90511">
        <w:t>of</w:t>
      </w:r>
      <w:r w:rsidRPr="00A90511">
        <w:rPr>
          <w:spacing w:val="-2"/>
        </w:rPr>
        <w:t xml:space="preserve"> </w:t>
      </w:r>
      <w:r w:rsidRPr="00A90511">
        <w:t>gambling</w:t>
      </w:r>
      <w:r w:rsidRPr="00A90511">
        <w:rPr>
          <w:spacing w:val="-4"/>
        </w:rPr>
        <w:t xml:space="preserve"> </w:t>
      </w:r>
      <w:r w:rsidRPr="00A90511">
        <w:t>within</w:t>
      </w:r>
      <w:r w:rsidRPr="00A90511">
        <w:rPr>
          <w:spacing w:val="-2"/>
        </w:rPr>
        <w:t xml:space="preserve"> </w:t>
      </w:r>
      <w:r w:rsidRPr="00A90511">
        <w:t>the</w:t>
      </w:r>
      <w:r w:rsidRPr="00A90511">
        <w:rPr>
          <w:spacing w:val="-2"/>
        </w:rPr>
        <w:t xml:space="preserve"> </w:t>
      </w:r>
      <w:r w:rsidRPr="00A90511">
        <w:t>district;</w:t>
      </w:r>
      <w:r w:rsidRPr="00A90511">
        <w:rPr>
          <w:spacing w:val="-2"/>
        </w:rPr>
        <w:t xml:space="preserve"> </w:t>
      </w:r>
      <w:r w:rsidR="00C40AF3">
        <w:rPr>
          <w:spacing w:val="-2"/>
        </w:rPr>
        <w:t>and</w:t>
      </w:r>
    </w:p>
    <w:p w14:paraId="0103FB1C" w14:textId="77777777" w:rsidR="00A26954" w:rsidRPr="00A90511" w:rsidRDefault="00A26954" w:rsidP="00777446">
      <w:pPr>
        <w:pStyle w:val="BodyText"/>
        <w:widowControl w:val="0"/>
        <w:numPr>
          <w:ilvl w:val="0"/>
          <w:numId w:val="14"/>
        </w:numPr>
        <w:autoSpaceDE w:val="0"/>
        <w:autoSpaceDN w:val="0"/>
        <w:spacing w:after="0"/>
        <w:ind w:left="851" w:right="446"/>
      </w:pPr>
      <w:r w:rsidRPr="00A90511">
        <w:t>minimise</w:t>
      </w:r>
      <w:r w:rsidRPr="00A90511">
        <w:rPr>
          <w:spacing w:val="-2"/>
        </w:rPr>
        <w:t xml:space="preserve"> </w:t>
      </w:r>
      <w:r w:rsidRPr="00A90511">
        <w:t>the</w:t>
      </w:r>
      <w:r w:rsidRPr="00A90511">
        <w:rPr>
          <w:spacing w:val="-2"/>
        </w:rPr>
        <w:t xml:space="preserve"> </w:t>
      </w:r>
      <w:r w:rsidRPr="00A90511">
        <w:t>harm</w:t>
      </w:r>
      <w:r w:rsidRPr="00A90511">
        <w:rPr>
          <w:spacing w:val="-5"/>
        </w:rPr>
        <w:t xml:space="preserve"> </w:t>
      </w:r>
      <w:r w:rsidRPr="00A90511">
        <w:t>of</w:t>
      </w:r>
      <w:r w:rsidRPr="00A90511">
        <w:rPr>
          <w:spacing w:val="-2"/>
        </w:rPr>
        <w:t xml:space="preserve"> </w:t>
      </w:r>
      <w:r w:rsidRPr="00A90511">
        <w:t>gambling;</w:t>
      </w:r>
      <w:r w:rsidRPr="00A90511">
        <w:rPr>
          <w:spacing w:val="-4"/>
        </w:rPr>
        <w:t xml:space="preserve"> </w:t>
      </w:r>
      <w:r w:rsidRPr="00A90511">
        <w:t>and</w:t>
      </w:r>
      <w:r w:rsidRPr="00A90511">
        <w:rPr>
          <w:spacing w:val="-4"/>
        </w:rPr>
        <w:t xml:space="preserve"> </w:t>
      </w:r>
    </w:p>
    <w:p w14:paraId="10C51806" w14:textId="77777777" w:rsidR="00A26954" w:rsidRPr="00A90511" w:rsidRDefault="00A26954" w:rsidP="00777446">
      <w:pPr>
        <w:pStyle w:val="BodyText"/>
        <w:widowControl w:val="0"/>
        <w:numPr>
          <w:ilvl w:val="0"/>
          <w:numId w:val="14"/>
        </w:numPr>
        <w:autoSpaceDE w:val="0"/>
        <w:autoSpaceDN w:val="0"/>
        <w:spacing w:after="0"/>
        <w:ind w:left="851" w:right="446"/>
      </w:pPr>
      <w:r w:rsidRPr="00A90511">
        <w:t>reflect</w:t>
      </w:r>
      <w:r w:rsidRPr="00A90511">
        <w:rPr>
          <w:spacing w:val="-2"/>
        </w:rPr>
        <w:t xml:space="preserve"> </w:t>
      </w:r>
      <w:r w:rsidRPr="00A90511">
        <w:t>the</w:t>
      </w:r>
      <w:r w:rsidRPr="00A90511">
        <w:rPr>
          <w:spacing w:val="-5"/>
        </w:rPr>
        <w:t xml:space="preserve"> </w:t>
      </w:r>
      <w:r w:rsidRPr="00A90511">
        <w:t>views</w:t>
      </w:r>
      <w:r w:rsidRPr="00A90511">
        <w:rPr>
          <w:spacing w:val="-3"/>
        </w:rPr>
        <w:t xml:space="preserve"> </w:t>
      </w:r>
      <w:r w:rsidRPr="00A90511">
        <w:t xml:space="preserve">of the local community in respect of the provision of gambling within the district. </w:t>
      </w:r>
    </w:p>
    <w:p w14:paraId="2875C185" w14:textId="77777777" w:rsidR="00A8357B" w:rsidRDefault="00A8357B" w:rsidP="00A8357B">
      <w:pPr>
        <w:pStyle w:val="BodyText"/>
        <w:widowControl w:val="0"/>
        <w:autoSpaceDE w:val="0"/>
        <w:autoSpaceDN w:val="0"/>
        <w:spacing w:after="0"/>
        <w:ind w:left="0" w:right="446"/>
      </w:pPr>
    </w:p>
    <w:p w14:paraId="5D4F400F" w14:textId="77777777" w:rsidR="00777446" w:rsidRDefault="00777446" w:rsidP="00A8357B">
      <w:pPr>
        <w:pStyle w:val="BodyText"/>
        <w:widowControl w:val="0"/>
        <w:autoSpaceDE w:val="0"/>
        <w:autoSpaceDN w:val="0"/>
        <w:spacing w:after="0"/>
        <w:ind w:left="0" w:right="446"/>
        <w:rPr>
          <w:b/>
          <w:bCs/>
        </w:rPr>
      </w:pPr>
      <w:r>
        <w:rPr>
          <w:b/>
          <w:bCs/>
        </w:rPr>
        <w:br w:type="page"/>
      </w:r>
    </w:p>
    <w:p w14:paraId="781AC490" w14:textId="691B7473" w:rsidR="00251358" w:rsidRDefault="00251358" w:rsidP="00A8357B">
      <w:pPr>
        <w:pStyle w:val="BodyText"/>
        <w:widowControl w:val="0"/>
        <w:autoSpaceDE w:val="0"/>
        <w:autoSpaceDN w:val="0"/>
        <w:spacing w:after="0"/>
        <w:ind w:left="0" w:right="446"/>
        <w:rPr>
          <w:b/>
          <w:bCs/>
        </w:rPr>
      </w:pPr>
      <w:r w:rsidRPr="00251358">
        <w:rPr>
          <w:b/>
          <w:bCs/>
        </w:rPr>
        <w:lastRenderedPageBreak/>
        <w:t>Application</w:t>
      </w:r>
      <w:r w:rsidR="006A4DD0">
        <w:rPr>
          <w:b/>
          <w:bCs/>
        </w:rPr>
        <w:t xml:space="preserve"> of</w:t>
      </w:r>
      <w:r w:rsidRPr="00251358">
        <w:rPr>
          <w:b/>
          <w:bCs/>
        </w:rPr>
        <w:t xml:space="preserve"> policy</w:t>
      </w:r>
    </w:p>
    <w:p w14:paraId="6C2A1C2C" w14:textId="5F6DEDE8" w:rsidR="00F3321F" w:rsidRPr="008A00B0" w:rsidRDefault="00601C86" w:rsidP="008A00B0">
      <w:pPr>
        <w:pStyle w:val="BodyText"/>
        <w:spacing w:after="0"/>
        <w:ind w:left="0" w:right="448"/>
        <w:rPr>
          <w:i/>
        </w:rPr>
      </w:pPr>
      <w:r w:rsidRPr="008A00B0">
        <w:rPr>
          <w:i/>
        </w:rPr>
        <w:t>Gambling Venues Polic</w:t>
      </w:r>
      <w:r w:rsidR="00F3321F" w:rsidRPr="008A00B0">
        <w:rPr>
          <w:i/>
        </w:rPr>
        <w:t>y</w:t>
      </w:r>
    </w:p>
    <w:p w14:paraId="15A53BAC" w14:textId="77777777" w:rsidR="00483C76" w:rsidRDefault="00AA6D1F" w:rsidP="00731093">
      <w:pPr>
        <w:pStyle w:val="BodyText"/>
        <w:ind w:left="0" w:right="449"/>
      </w:pPr>
      <w:r>
        <w:t>The current policy does not allow for the issuing of any new Class 4 licenses.</w:t>
      </w:r>
      <w:r w:rsidR="008A1AF8">
        <w:t xml:space="preserve"> Since the adoption of the 2021 policy,</w:t>
      </w:r>
      <w:r>
        <w:t xml:space="preserve"> </w:t>
      </w:r>
      <w:r w:rsidR="00EB0933">
        <w:t xml:space="preserve">Council has received no applications under this section of the </w:t>
      </w:r>
      <w:r w:rsidR="009F53BA">
        <w:t>GVP</w:t>
      </w:r>
      <w:r>
        <w:t xml:space="preserve"> for any relocations of </w:t>
      </w:r>
      <w:r w:rsidR="008A1AF8">
        <w:t>licensed venues, or for mergers of licenses.</w:t>
      </w:r>
      <w:r w:rsidR="00483C76" w:rsidRPr="00483C76">
        <w:t xml:space="preserve"> </w:t>
      </w:r>
    </w:p>
    <w:p w14:paraId="789229F8" w14:textId="187E5599" w:rsidR="00F3321F" w:rsidRDefault="00483C76" w:rsidP="00731093">
      <w:pPr>
        <w:pStyle w:val="BodyText"/>
        <w:ind w:left="0" w:right="449"/>
      </w:pPr>
      <w:r w:rsidRPr="00A90511">
        <w:t>There</w:t>
      </w:r>
      <w:r w:rsidRPr="00A90511">
        <w:rPr>
          <w:spacing w:val="-2"/>
        </w:rPr>
        <w:t xml:space="preserve"> </w:t>
      </w:r>
      <w:r w:rsidRPr="00A90511">
        <w:t>are currently 17 venues hosting 227 Class 4 gaming machines within the Waikato District</w:t>
      </w:r>
      <w:r w:rsidR="008A00B0">
        <w:t xml:space="preserve">. This is </w:t>
      </w:r>
      <w:r w:rsidRPr="00A90511">
        <w:t>a reduction from 2021, where we had 18 venues hosting 233 machines).</w:t>
      </w:r>
    </w:p>
    <w:p w14:paraId="7C2F310C" w14:textId="162DA41A" w:rsidR="00731093" w:rsidRPr="008A00B0" w:rsidRDefault="00731093" w:rsidP="008A00B0">
      <w:pPr>
        <w:pStyle w:val="BodyText"/>
        <w:spacing w:after="0"/>
        <w:ind w:left="0" w:right="448"/>
        <w:rPr>
          <w:i/>
        </w:rPr>
      </w:pPr>
      <w:r w:rsidRPr="008A00B0">
        <w:rPr>
          <w:i/>
        </w:rPr>
        <w:t>TAB Venues Policy</w:t>
      </w:r>
    </w:p>
    <w:p w14:paraId="4381A1BC" w14:textId="09A1061A" w:rsidR="002A2286" w:rsidRDefault="003D38A9" w:rsidP="00731093">
      <w:pPr>
        <w:pStyle w:val="BodyText"/>
        <w:ind w:left="0" w:right="449"/>
      </w:pPr>
      <w:r>
        <w:t xml:space="preserve">The Policy </w:t>
      </w:r>
      <w:r w:rsidR="00820A24">
        <w:t>is not applied</w:t>
      </w:r>
      <w:r w:rsidR="00A27873">
        <w:t xml:space="preserve"> to any</w:t>
      </w:r>
      <w:r w:rsidR="00185EEE">
        <w:t xml:space="preserve"> existing </w:t>
      </w:r>
      <w:r w:rsidR="00A27873">
        <w:t>business</w:t>
      </w:r>
      <w:r>
        <w:t xml:space="preserve"> in the Waikato District because </w:t>
      </w:r>
      <w:r w:rsidR="00A27873">
        <w:t xml:space="preserve">the policy </w:t>
      </w:r>
      <w:r w:rsidR="00097DDA">
        <w:t xml:space="preserve">only </w:t>
      </w:r>
      <w:r>
        <w:t xml:space="preserve">regulates stand-alone TAB venues. </w:t>
      </w:r>
      <w:r w:rsidR="00731093" w:rsidRPr="00A90511">
        <w:t>There are currently no stand-alone TAB venues located within the Waikato District</w:t>
      </w:r>
      <w:r w:rsidR="007A0516">
        <w:t>. I</w:t>
      </w:r>
      <w:r w:rsidR="00731093" w:rsidRPr="00A90511">
        <w:t>nstead, there are TAB terminals located inside other venues, such as taverns</w:t>
      </w:r>
      <w:r>
        <w:t xml:space="preserve">. </w:t>
      </w:r>
    </w:p>
    <w:p w14:paraId="16ED6793" w14:textId="3C1073B4" w:rsidR="007A0516" w:rsidRDefault="00E859DE" w:rsidP="00731093">
      <w:pPr>
        <w:pStyle w:val="BodyText"/>
        <w:ind w:left="0" w:right="449"/>
      </w:pPr>
      <w:r>
        <w:t>The Policy would be relevant i</w:t>
      </w:r>
      <w:r w:rsidR="00782382">
        <w:t>f</w:t>
      </w:r>
      <w:r w:rsidR="003D38A9">
        <w:t xml:space="preserve"> a stand-alone</w:t>
      </w:r>
      <w:r>
        <w:t xml:space="preserve"> </w:t>
      </w:r>
      <w:r w:rsidR="002A2286">
        <w:t>TAB was proposed to be</w:t>
      </w:r>
      <w:r w:rsidR="007A0516">
        <w:t xml:space="preserve"> </w:t>
      </w:r>
      <w:r w:rsidR="00782382">
        <w:t xml:space="preserve">established in the Waikato </w:t>
      </w:r>
      <w:r w:rsidR="003A2183">
        <w:t>District and would then</w:t>
      </w:r>
      <w:r w:rsidR="002A2286">
        <w:t xml:space="preserve"> determine where a TAB could be located. </w:t>
      </w:r>
    </w:p>
    <w:p w14:paraId="0CDC27CE" w14:textId="303B66AF" w:rsidR="00FB36D0" w:rsidRDefault="003625DA" w:rsidP="0045682E">
      <w:pPr>
        <w:pStyle w:val="BodyText"/>
        <w:widowControl w:val="0"/>
        <w:autoSpaceDE w:val="0"/>
        <w:autoSpaceDN w:val="0"/>
        <w:spacing w:after="0"/>
        <w:ind w:left="0" w:right="446"/>
        <w:rPr>
          <w:b/>
          <w:bCs/>
        </w:rPr>
      </w:pPr>
      <w:r>
        <w:rPr>
          <w:b/>
          <w:bCs/>
        </w:rPr>
        <w:t>Comparing o</w:t>
      </w:r>
      <w:r w:rsidRPr="003625DA">
        <w:rPr>
          <w:b/>
          <w:bCs/>
        </w:rPr>
        <w:t xml:space="preserve">ur Policy to </w:t>
      </w:r>
      <w:r>
        <w:rPr>
          <w:b/>
          <w:bCs/>
        </w:rPr>
        <w:t>o</w:t>
      </w:r>
      <w:r w:rsidRPr="003625DA">
        <w:rPr>
          <w:b/>
          <w:bCs/>
        </w:rPr>
        <w:t>ther Councils' Gambling Venue Policies</w:t>
      </w:r>
    </w:p>
    <w:p w14:paraId="4068B7BE" w14:textId="7B51B25D" w:rsidR="00E06312" w:rsidRDefault="00CC482B" w:rsidP="0045682E">
      <w:pPr>
        <w:pStyle w:val="BodyText"/>
        <w:widowControl w:val="0"/>
        <w:autoSpaceDE w:val="0"/>
        <w:autoSpaceDN w:val="0"/>
        <w:spacing w:after="0"/>
        <w:ind w:left="0" w:right="446"/>
      </w:pPr>
      <w:r>
        <w:t>Six other</w:t>
      </w:r>
      <w:r w:rsidR="00A77741">
        <w:t xml:space="preserve"> territorial authorities</w:t>
      </w:r>
      <w:r>
        <w:t>’</w:t>
      </w:r>
      <w:r w:rsidR="00A77741">
        <w:t xml:space="preserve"> </w:t>
      </w:r>
      <w:r w:rsidR="00424E6A">
        <w:t xml:space="preserve">(in geographic proximity to Waikato District) </w:t>
      </w:r>
      <w:r>
        <w:t>policies were analysed to show how our current policy</w:t>
      </w:r>
      <w:r w:rsidR="00AB58A7">
        <w:t xml:space="preserve"> compares</w:t>
      </w:r>
      <w:r w:rsidR="00842438">
        <w:t xml:space="preserve"> (seven policies in total)</w:t>
      </w:r>
      <w:r w:rsidR="00AB58A7">
        <w:t>. As the comparative table (</w:t>
      </w:r>
      <w:r w:rsidR="00D21628">
        <w:t xml:space="preserve">Appendix 2, </w:t>
      </w:r>
      <w:r w:rsidR="00AB58A7">
        <w:t xml:space="preserve">Attachment </w:t>
      </w:r>
      <w:r w:rsidR="00D21628">
        <w:t>1</w:t>
      </w:r>
      <w:r w:rsidR="00AB58A7">
        <w:t xml:space="preserve">) shows, the difference in how the legislation is applied through </w:t>
      </w:r>
      <w:r w:rsidR="00424E6A">
        <w:t xml:space="preserve">the </w:t>
      </w:r>
      <w:r w:rsidR="00AB58A7">
        <w:t xml:space="preserve">Class 4 Venue </w:t>
      </w:r>
      <w:r w:rsidR="00424E6A">
        <w:t>clauses are often split</w:t>
      </w:r>
      <w:r w:rsidR="00F22195">
        <w:t>.</w:t>
      </w:r>
    </w:p>
    <w:p w14:paraId="27B4FB15" w14:textId="24FBE675" w:rsidR="00F22195" w:rsidRDefault="003E75AD" w:rsidP="003E75AD">
      <w:pPr>
        <w:pStyle w:val="BodyText"/>
        <w:widowControl w:val="0"/>
        <w:autoSpaceDE w:val="0"/>
        <w:autoSpaceDN w:val="0"/>
        <w:spacing w:before="120" w:after="120"/>
        <w:ind w:left="0" w:right="448"/>
      </w:pPr>
      <w:r>
        <w:t>K</w:t>
      </w:r>
      <w:r w:rsidR="00F22195">
        <w:t>ey points are listed below:</w:t>
      </w:r>
    </w:p>
    <w:p w14:paraId="10B3A483" w14:textId="0E7D17C6" w:rsidR="00023D94" w:rsidRDefault="00A404EF" w:rsidP="003E75AD">
      <w:pPr>
        <w:pStyle w:val="BodyText"/>
        <w:widowControl w:val="0"/>
        <w:numPr>
          <w:ilvl w:val="0"/>
          <w:numId w:val="21"/>
        </w:numPr>
        <w:autoSpaceDE w:val="0"/>
        <w:autoSpaceDN w:val="0"/>
        <w:spacing w:after="120"/>
        <w:ind w:left="714" w:right="448" w:hanging="357"/>
      </w:pPr>
      <w:r>
        <w:t xml:space="preserve">A sinking lid clause has been adopted </w:t>
      </w:r>
      <w:r w:rsidR="00EA5CA4">
        <w:t>in</w:t>
      </w:r>
      <w:r>
        <w:t xml:space="preserve"> </w:t>
      </w:r>
      <w:r w:rsidR="00CC482B">
        <w:t>four of the seven</w:t>
      </w:r>
      <w:r w:rsidR="00AB58A7">
        <w:t xml:space="preserve"> policies</w:t>
      </w:r>
      <w:r w:rsidR="000E6689">
        <w:t xml:space="preserve">, including </w:t>
      </w:r>
      <w:r w:rsidR="00BA2166">
        <w:t xml:space="preserve">WDC’s </w:t>
      </w:r>
      <w:r w:rsidR="000E6689">
        <w:t xml:space="preserve">Policy. </w:t>
      </w:r>
      <w:r w:rsidR="002E43BD">
        <w:t>A sinking lid clause</w:t>
      </w:r>
      <w:r w:rsidR="00023D94">
        <w:t xml:space="preserve"> means that no new </w:t>
      </w:r>
      <w:r w:rsidR="00197D4C">
        <w:t xml:space="preserve">venues </w:t>
      </w:r>
      <w:r w:rsidR="00326CA3">
        <w:t xml:space="preserve">with </w:t>
      </w:r>
      <w:r w:rsidR="00E50CDF">
        <w:t xml:space="preserve">gambling machines </w:t>
      </w:r>
      <w:r w:rsidR="00197D4C">
        <w:t>can be established.</w:t>
      </w:r>
    </w:p>
    <w:p w14:paraId="3FA89B76" w14:textId="0A2206D9" w:rsidR="00F22195" w:rsidRDefault="000E6689" w:rsidP="00023D94">
      <w:pPr>
        <w:pStyle w:val="BodyText"/>
        <w:widowControl w:val="0"/>
        <w:autoSpaceDE w:val="0"/>
        <w:autoSpaceDN w:val="0"/>
        <w:spacing w:after="120"/>
        <w:ind w:left="714" w:right="448"/>
      </w:pPr>
      <w:r>
        <w:t>By contrast,</w:t>
      </w:r>
      <w:r w:rsidR="00536A5A">
        <w:t xml:space="preserve"> Waipa District Council</w:t>
      </w:r>
      <w:r w:rsidR="00B41785">
        <w:t>, Matamata</w:t>
      </w:r>
      <w:r w:rsidR="00AB43F9">
        <w:t>-</w:t>
      </w:r>
      <w:proofErr w:type="spellStart"/>
      <w:r w:rsidR="00AB43F9">
        <w:t>Piako</w:t>
      </w:r>
      <w:proofErr w:type="spellEnd"/>
      <w:r w:rsidR="00AB43F9">
        <w:t xml:space="preserve"> District Council </w:t>
      </w:r>
      <w:r w:rsidR="00AC1125">
        <w:t xml:space="preserve">(MPDC) </w:t>
      </w:r>
      <w:r w:rsidR="00AB43F9">
        <w:t>and Hauraki District Council</w:t>
      </w:r>
      <w:r w:rsidR="00AC1125">
        <w:t xml:space="preserve"> (HDC)</w:t>
      </w:r>
      <w:r w:rsidR="00AB43F9">
        <w:t xml:space="preserve"> </w:t>
      </w:r>
      <w:r w:rsidR="00106986">
        <w:t xml:space="preserve">do </w:t>
      </w:r>
      <w:r w:rsidR="008E040E">
        <w:t>not have a sinking lid policy</w:t>
      </w:r>
      <w:r w:rsidR="00C40AF3">
        <w:t>,</w:t>
      </w:r>
      <w:r w:rsidR="008E040E">
        <w:t xml:space="preserve"> and this allows for an increase of gaming machines. </w:t>
      </w:r>
    </w:p>
    <w:p w14:paraId="13CAD4F4" w14:textId="7005C86A" w:rsidR="00EA5CA4" w:rsidRDefault="00EA5CA4" w:rsidP="003E75AD">
      <w:pPr>
        <w:pStyle w:val="BodyText"/>
        <w:widowControl w:val="0"/>
        <w:numPr>
          <w:ilvl w:val="0"/>
          <w:numId w:val="21"/>
        </w:numPr>
        <w:autoSpaceDE w:val="0"/>
        <w:autoSpaceDN w:val="0"/>
        <w:spacing w:after="120"/>
        <w:ind w:left="714" w:right="448" w:hanging="357"/>
      </w:pPr>
      <w:r>
        <w:t xml:space="preserve">Caps on maximum numbers of machines </w:t>
      </w:r>
      <w:r w:rsidR="004703FC">
        <w:t xml:space="preserve">in venues </w:t>
      </w:r>
      <w:r>
        <w:t xml:space="preserve">are in four of the </w:t>
      </w:r>
      <w:r w:rsidR="7C5449E0">
        <w:t xml:space="preserve">seven </w:t>
      </w:r>
      <w:r>
        <w:t>policies.</w:t>
      </w:r>
      <w:r w:rsidR="004703FC">
        <w:t xml:space="preserve"> </w:t>
      </w:r>
      <w:r w:rsidR="00473485">
        <w:t>W</w:t>
      </w:r>
      <w:r w:rsidR="00230EF0">
        <w:t>DC’s</w:t>
      </w:r>
      <w:r w:rsidR="000E6689">
        <w:t xml:space="preserve"> Policy caps the number of machines </w:t>
      </w:r>
      <w:r w:rsidR="000C3454">
        <w:t>per</w:t>
      </w:r>
      <w:r w:rsidR="000E6689">
        <w:t xml:space="preserve"> venues at nine. </w:t>
      </w:r>
      <w:r w:rsidR="00AC1125">
        <w:t>HCC</w:t>
      </w:r>
      <w:r w:rsidR="00A13F7F">
        <w:t>, Auckland Council</w:t>
      </w:r>
      <w:r w:rsidR="00E9497E">
        <w:t xml:space="preserve"> and </w:t>
      </w:r>
      <w:r w:rsidR="00A13F7F">
        <w:t>Thames-Coromandel District Council</w:t>
      </w:r>
      <w:r w:rsidR="00E9497E">
        <w:t xml:space="preserve"> </w:t>
      </w:r>
      <w:r w:rsidR="00E92812">
        <w:t xml:space="preserve">have </w:t>
      </w:r>
      <w:r w:rsidR="00E9497E">
        <w:t xml:space="preserve">no </w:t>
      </w:r>
      <w:r w:rsidR="00DE4AE4">
        <w:t>maximum</w:t>
      </w:r>
      <w:r w:rsidR="00E9497E">
        <w:t xml:space="preserve"> on the number of machines allowed in venues. </w:t>
      </w:r>
    </w:p>
    <w:p w14:paraId="74ED0972" w14:textId="28E68145" w:rsidR="00EA5CA4" w:rsidRDefault="00EA5CA4" w:rsidP="003E75AD">
      <w:pPr>
        <w:pStyle w:val="BodyText"/>
        <w:widowControl w:val="0"/>
        <w:numPr>
          <w:ilvl w:val="0"/>
          <w:numId w:val="21"/>
        </w:numPr>
        <w:autoSpaceDE w:val="0"/>
        <w:autoSpaceDN w:val="0"/>
        <w:spacing w:after="120"/>
        <w:ind w:left="714" w:right="448" w:hanging="357"/>
      </w:pPr>
      <w:r>
        <w:t xml:space="preserve">Relocations (with conditions) are </w:t>
      </w:r>
      <w:r w:rsidR="00842438">
        <w:t xml:space="preserve">allowed in </w:t>
      </w:r>
      <w:r w:rsidR="7A1952CE">
        <w:t>five of the seven</w:t>
      </w:r>
      <w:r w:rsidR="00842438">
        <w:t xml:space="preserve"> of the policies</w:t>
      </w:r>
      <w:r w:rsidR="00627F7F">
        <w:t xml:space="preserve">, including </w:t>
      </w:r>
      <w:r w:rsidR="005B0951">
        <w:t>WDC’s</w:t>
      </w:r>
      <w:r w:rsidR="00627F7F">
        <w:t xml:space="preserve"> Policy</w:t>
      </w:r>
      <w:r w:rsidR="00842438">
        <w:t>.</w:t>
      </w:r>
      <w:r w:rsidR="003C5503">
        <w:t xml:space="preserve"> This means that a license</w:t>
      </w:r>
      <w:r w:rsidR="00430547">
        <w:t xml:space="preserve"> holder can still use their license </w:t>
      </w:r>
      <w:r w:rsidR="00627F7F">
        <w:t xml:space="preserve">for gaming venues even if the business </w:t>
      </w:r>
      <w:r w:rsidR="003C5503">
        <w:t xml:space="preserve">relocates to another venue. </w:t>
      </w:r>
      <w:r w:rsidR="009F4F57">
        <w:t xml:space="preserve">HCC and Auckland </w:t>
      </w:r>
      <w:r w:rsidR="00466892">
        <w:t xml:space="preserve">do not permit relocation. </w:t>
      </w:r>
    </w:p>
    <w:p w14:paraId="1895A987" w14:textId="7CC6D3D0" w:rsidR="7BF522FB" w:rsidRDefault="7BF522FB" w:rsidP="28B2D848">
      <w:pPr>
        <w:pStyle w:val="BodyText"/>
        <w:widowControl w:val="0"/>
        <w:numPr>
          <w:ilvl w:val="0"/>
          <w:numId w:val="21"/>
        </w:numPr>
        <w:spacing w:after="120"/>
        <w:ind w:left="714" w:right="448" w:hanging="357"/>
      </w:pPr>
      <w:r>
        <w:t xml:space="preserve">Mergers are allowed for in six </w:t>
      </w:r>
      <w:r w:rsidR="20C4966B">
        <w:t xml:space="preserve">of the seven </w:t>
      </w:r>
      <w:r>
        <w:t>of the policies.</w:t>
      </w:r>
      <w:r w:rsidR="7F77B3BC">
        <w:t xml:space="preserve"> This means that </w:t>
      </w:r>
      <w:r w:rsidR="0120DFEB">
        <w:t xml:space="preserve">two </w:t>
      </w:r>
      <w:r w:rsidR="7F77B3BC">
        <w:t>business</w:t>
      </w:r>
      <w:r w:rsidR="0120DFEB">
        <w:t xml:space="preserve">es with current licenses </w:t>
      </w:r>
      <w:r w:rsidR="7F77B3BC">
        <w:t>can merge</w:t>
      </w:r>
      <w:r w:rsidR="0120DFEB">
        <w:t xml:space="preserve"> </w:t>
      </w:r>
      <w:r w:rsidR="7D8646B2">
        <w:t xml:space="preserve">and combine their permitted number of </w:t>
      </w:r>
      <w:r w:rsidR="60F4B87A">
        <w:t xml:space="preserve">gambling machines. </w:t>
      </w:r>
    </w:p>
    <w:p w14:paraId="6C64956B" w14:textId="371CDC91" w:rsidR="00F36305" w:rsidRDefault="005D32C6" w:rsidP="005D32C6">
      <w:pPr>
        <w:pStyle w:val="BodyText"/>
        <w:widowControl w:val="0"/>
        <w:spacing w:after="120"/>
        <w:ind w:left="0" w:right="448"/>
      </w:pPr>
      <w:r>
        <w:t>Staff have also reviewed</w:t>
      </w:r>
      <w:r w:rsidR="00A545EA">
        <w:t xml:space="preserve"> the average spend per person in 2023</w:t>
      </w:r>
      <w:r>
        <w:t xml:space="preserve"> Class 4 Gambling Spend</w:t>
      </w:r>
      <w:r w:rsidR="005F6968">
        <w:t xml:space="preserve"> for six other territorial authorities. This shows that the </w:t>
      </w:r>
      <w:r w:rsidR="000C6991">
        <w:t xml:space="preserve">number of spend is highest per person in Thames Coromandel and lowest in the Waikato. </w:t>
      </w:r>
    </w:p>
    <w:p w14:paraId="40EED3FF" w14:textId="2F6B67F7" w:rsidR="00D50614" w:rsidRPr="00D50614" w:rsidRDefault="00D50614" w:rsidP="00D50614">
      <w:pPr>
        <w:pStyle w:val="Caption"/>
        <w:keepNext/>
        <w:rPr>
          <w:color w:val="auto"/>
        </w:rPr>
      </w:pPr>
      <w:r w:rsidRPr="00D50614">
        <w:rPr>
          <w:color w:val="auto"/>
        </w:rPr>
        <w:lastRenderedPageBreak/>
        <w:t xml:space="preserve">Table </w:t>
      </w:r>
      <w:r w:rsidRPr="00D50614">
        <w:rPr>
          <w:color w:val="auto"/>
        </w:rPr>
        <w:fldChar w:fldCharType="begin"/>
      </w:r>
      <w:r w:rsidRPr="00D50614">
        <w:rPr>
          <w:color w:val="auto"/>
        </w:rPr>
        <w:instrText xml:space="preserve"> SEQ Table \* ARABIC </w:instrText>
      </w:r>
      <w:r w:rsidRPr="00D50614">
        <w:rPr>
          <w:color w:val="auto"/>
        </w:rPr>
        <w:fldChar w:fldCharType="separate"/>
      </w:r>
      <w:r w:rsidR="00A3373A">
        <w:rPr>
          <w:noProof/>
          <w:color w:val="auto"/>
        </w:rPr>
        <w:t>1</w:t>
      </w:r>
      <w:r w:rsidRPr="00D50614">
        <w:rPr>
          <w:color w:val="auto"/>
        </w:rPr>
        <w:fldChar w:fldCharType="end"/>
      </w:r>
      <w:r w:rsidRPr="00D50614">
        <w:rPr>
          <w:color w:val="auto"/>
        </w:rPr>
        <w:t xml:space="preserve">: Class 4 gambling spend per person in </w:t>
      </w:r>
      <w:proofErr w:type="gramStart"/>
      <w:r w:rsidRPr="00D50614">
        <w:rPr>
          <w:color w:val="auto"/>
        </w:rPr>
        <w:t>2023</w:t>
      </w:r>
      <w:proofErr w:type="gramEnd"/>
    </w:p>
    <w:tbl>
      <w:tblPr>
        <w:tblStyle w:val="TableGrid"/>
        <w:tblW w:w="9209" w:type="dxa"/>
        <w:tblLook w:val="04A0" w:firstRow="1" w:lastRow="0" w:firstColumn="1" w:lastColumn="0" w:noHBand="0" w:noVBand="1"/>
      </w:tblPr>
      <w:tblGrid>
        <w:gridCol w:w="3681"/>
        <w:gridCol w:w="5528"/>
      </w:tblGrid>
      <w:tr w:rsidR="000C6991" w14:paraId="17E66C16" w14:textId="77777777" w:rsidTr="00512CCE">
        <w:trPr>
          <w:tblHeader/>
        </w:trPr>
        <w:tc>
          <w:tcPr>
            <w:tcW w:w="3681" w:type="dxa"/>
          </w:tcPr>
          <w:p w14:paraId="2CFC29E7" w14:textId="5271897F" w:rsidR="000C6991" w:rsidRPr="006064C6" w:rsidRDefault="00F85B03" w:rsidP="006064C6">
            <w:pPr>
              <w:pStyle w:val="BodyText"/>
              <w:widowControl w:val="0"/>
              <w:spacing w:after="0"/>
              <w:ind w:left="0" w:right="448"/>
              <w:rPr>
                <w:b/>
                <w:bCs/>
              </w:rPr>
            </w:pPr>
            <w:r w:rsidRPr="006064C6">
              <w:rPr>
                <w:b/>
                <w:bCs/>
              </w:rPr>
              <w:t>Council</w:t>
            </w:r>
          </w:p>
        </w:tc>
        <w:tc>
          <w:tcPr>
            <w:tcW w:w="5528" w:type="dxa"/>
          </w:tcPr>
          <w:p w14:paraId="60E04C92" w14:textId="5ECE87D2" w:rsidR="000C6991" w:rsidRPr="006064C6" w:rsidRDefault="00F85B03" w:rsidP="006064C6">
            <w:pPr>
              <w:pStyle w:val="BodyText"/>
              <w:widowControl w:val="0"/>
              <w:spacing w:after="0"/>
              <w:ind w:left="0" w:right="448"/>
              <w:rPr>
                <w:b/>
                <w:bCs/>
              </w:rPr>
            </w:pPr>
            <w:r w:rsidRPr="006064C6">
              <w:rPr>
                <w:b/>
                <w:bCs/>
              </w:rPr>
              <w:t xml:space="preserve">Average </w:t>
            </w:r>
            <w:proofErr w:type="gramStart"/>
            <w:r w:rsidRPr="006064C6">
              <w:rPr>
                <w:b/>
                <w:bCs/>
              </w:rPr>
              <w:t>spend</w:t>
            </w:r>
            <w:proofErr w:type="gramEnd"/>
            <w:r w:rsidRPr="006064C6">
              <w:rPr>
                <w:b/>
                <w:bCs/>
              </w:rPr>
              <w:t xml:space="preserve"> per person </w:t>
            </w:r>
            <w:r w:rsidR="00D24C3E">
              <w:rPr>
                <w:b/>
                <w:bCs/>
              </w:rPr>
              <w:t>/</w:t>
            </w:r>
            <w:r w:rsidRPr="006064C6">
              <w:rPr>
                <w:b/>
                <w:bCs/>
              </w:rPr>
              <w:t xml:space="preserve"> annum</w:t>
            </w:r>
            <w:r w:rsidR="006064C6" w:rsidRPr="006064C6">
              <w:rPr>
                <w:b/>
                <w:bCs/>
              </w:rPr>
              <w:t xml:space="preserve"> in 2023</w:t>
            </w:r>
          </w:p>
        </w:tc>
      </w:tr>
      <w:tr w:rsidR="006064C6" w14:paraId="0E5C5F62" w14:textId="77777777" w:rsidTr="00512CCE">
        <w:tc>
          <w:tcPr>
            <w:tcW w:w="3681" w:type="dxa"/>
          </w:tcPr>
          <w:p w14:paraId="7DCD42CF" w14:textId="2D45A18C" w:rsidR="006064C6" w:rsidRDefault="006064C6" w:rsidP="006064C6">
            <w:pPr>
              <w:pStyle w:val="BodyText"/>
              <w:widowControl w:val="0"/>
              <w:spacing w:after="0"/>
              <w:ind w:left="0" w:right="448"/>
            </w:pPr>
            <w:r>
              <w:t>Waikato District</w:t>
            </w:r>
          </w:p>
        </w:tc>
        <w:tc>
          <w:tcPr>
            <w:tcW w:w="5528" w:type="dxa"/>
          </w:tcPr>
          <w:p w14:paraId="4688EF97" w14:textId="50E9CCC9" w:rsidR="006064C6" w:rsidRDefault="006064C6" w:rsidP="006064C6">
            <w:pPr>
              <w:pStyle w:val="BodyText"/>
              <w:widowControl w:val="0"/>
              <w:spacing w:after="0"/>
              <w:ind w:left="0" w:right="448"/>
            </w:pPr>
            <w:r>
              <w:t>$122</w:t>
            </w:r>
          </w:p>
        </w:tc>
      </w:tr>
      <w:tr w:rsidR="006064C6" w14:paraId="26BDBFEE" w14:textId="77777777" w:rsidTr="00512CCE">
        <w:tc>
          <w:tcPr>
            <w:tcW w:w="3681" w:type="dxa"/>
          </w:tcPr>
          <w:p w14:paraId="08C3D8D2" w14:textId="54588D50" w:rsidR="006064C6" w:rsidRDefault="006064C6" w:rsidP="006064C6">
            <w:pPr>
              <w:pStyle w:val="BodyText"/>
              <w:widowControl w:val="0"/>
              <w:spacing w:after="0"/>
              <w:ind w:left="0" w:right="448"/>
            </w:pPr>
            <w:r>
              <w:t>Hamilton</w:t>
            </w:r>
            <w:r w:rsidR="00796DC1">
              <w:t xml:space="preserve"> City</w:t>
            </w:r>
          </w:p>
        </w:tc>
        <w:tc>
          <w:tcPr>
            <w:tcW w:w="5528" w:type="dxa"/>
          </w:tcPr>
          <w:p w14:paraId="5C6195D4" w14:textId="346224F8" w:rsidR="006064C6" w:rsidRDefault="006064C6" w:rsidP="006064C6">
            <w:pPr>
              <w:pStyle w:val="BodyText"/>
              <w:widowControl w:val="0"/>
              <w:spacing w:after="0"/>
              <w:ind w:left="0" w:right="448"/>
            </w:pPr>
            <w:r>
              <w:t>$154</w:t>
            </w:r>
          </w:p>
        </w:tc>
      </w:tr>
      <w:tr w:rsidR="006064C6" w14:paraId="3E926315" w14:textId="77777777" w:rsidTr="00512CCE">
        <w:tc>
          <w:tcPr>
            <w:tcW w:w="3681" w:type="dxa"/>
          </w:tcPr>
          <w:p w14:paraId="5878E61A" w14:textId="7D754C5F" w:rsidR="006064C6" w:rsidRDefault="006064C6" w:rsidP="006064C6">
            <w:pPr>
              <w:pStyle w:val="BodyText"/>
              <w:widowControl w:val="0"/>
              <w:spacing w:after="0"/>
              <w:ind w:left="0" w:right="448"/>
            </w:pPr>
            <w:r>
              <w:t>Waipa</w:t>
            </w:r>
            <w:r w:rsidR="00796DC1">
              <w:t xml:space="preserve"> District</w:t>
            </w:r>
          </w:p>
        </w:tc>
        <w:tc>
          <w:tcPr>
            <w:tcW w:w="5528" w:type="dxa"/>
          </w:tcPr>
          <w:p w14:paraId="312048B7" w14:textId="343111CA" w:rsidR="006064C6" w:rsidRDefault="006064C6" w:rsidP="006064C6">
            <w:pPr>
              <w:pStyle w:val="BodyText"/>
              <w:widowControl w:val="0"/>
              <w:spacing w:after="0"/>
              <w:ind w:left="0" w:right="448"/>
            </w:pPr>
            <w:r>
              <w:t>$169</w:t>
            </w:r>
          </w:p>
        </w:tc>
      </w:tr>
      <w:tr w:rsidR="006064C6" w14:paraId="4C1874C9" w14:textId="77777777" w:rsidTr="00512CCE">
        <w:tc>
          <w:tcPr>
            <w:tcW w:w="3681" w:type="dxa"/>
          </w:tcPr>
          <w:p w14:paraId="10EFE4DD" w14:textId="0470D91A" w:rsidR="006064C6" w:rsidRDefault="006064C6" w:rsidP="006064C6">
            <w:pPr>
              <w:pStyle w:val="BodyText"/>
              <w:widowControl w:val="0"/>
              <w:spacing w:after="0"/>
              <w:ind w:left="0" w:right="448"/>
            </w:pPr>
            <w:r>
              <w:t>Auckland</w:t>
            </w:r>
          </w:p>
        </w:tc>
        <w:tc>
          <w:tcPr>
            <w:tcW w:w="5528" w:type="dxa"/>
          </w:tcPr>
          <w:p w14:paraId="5E2BA9A8" w14:textId="59844819" w:rsidR="006064C6" w:rsidRDefault="006064C6" w:rsidP="006064C6">
            <w:pPr>
              <w:pStyle w:val="BodyText"/>
              <w:widowControl w:val="0"/>
              <w:spacing w:after="0"/>
              <w:ind w:left="0" w:right="448"/>
            </w:pPr>
            <w:r>
              <w:t>$180</w:t>
            </w:r>
          </w:p>
        </w:tc>
      </w:tr>
      <w:tr w:rsidR="006064C6" w14:paraId="38D8228A" w14:textId="77777777" w:rsidTr="00512CCE">
        <w:tc>
          <w:tcPr>
            <w:tcW w:w="3681" w:type="dxa"/>
          </w:tcPr>
          <w:p w14:paraId="325179F3" w14:textId="5DD5A929" w:rsidR="006064C6" w:rsidRDefault="006064C6" w:rsidP="006064C6">
            <w:pPr>
              <w:pStyle w:val="BodyText"/>
              <w:widowControl w:val="0"/>
              <w:spacing w:after="0"/>
              <w:ind w:left="0" w:right="448"/>
            </w:pPr>
            <w:r>
              <w:t>Matamata-</w:t>
            </w:r>
            <w:proofErr w:type="spellStart"/>
            <w:r>
              <w:t>Piako</w:t>
            </w:r>
            <w:proofErr w:type="spellEnd"/>
            <w:r w:rsidR="00796DC1">
              <w:t xml:space="preserve"> District</w:t>
            </w:r>
          </w:p>
        </w:tc>
        <w:tc>
          <w:tcPr>
            <w:tcW w:w="5528" w:type="dxa"/>
          </w:tcPr>
          <w:p w14:paraId="7AC02854" w14:textId="1560BAA5" w:rsidR="006064C6" w:rsidRDefault="006064C6" w:rsidP="006064C6">
            <w:pPr>
              <w:pStyle w:val="BodyText"/>
              <w:widowControl w:val="0"/>
              <w:spacing w:after="0"/>
              <w:ind w:left="0" w:right="448"/>
            </w:pPr>
            <w:r>
              <w:t>$194</w:t>
            </w:r>
          </w:p>
        </w:tc>
      </w:tr>
      <w:tr w:rsidR="006064C6" w14:paraId="40CE6351" w14:textId="77777777" w:rsidTr="00512CCE">
        <w:tc>
          <w:tcPr>
            <w:tcW w:w="3681" w:type="dxa"/>
          </w:tcPr>
          <w:p w14:paraId="56B1E412" w14:textId="739417A2" w:rsidR="006064C6" w:rsidRDefault="006064C6" w:rsidP="006064C6">
            <w:pPr>
              <w:pStyle w:val="BodyText"/>
              <w:widowControl w:val="0"/>
              <w:spacing w:after="0"/>
              <w:ind w:left="0" w:right="448"/>
            </w:pPr>
            <w:r>
              <w:t>Hauraki</w:t>
            </w:r>
            <w:r w:rsidR="00796DC1">
              <w:t xml:space="preserve"> District</w:t>
            </w:r>
          </w:p>
        </w:tc>
        <w:tc>
          <w:tcPr>
            <w:tcW w:w="5528" w:type="dxa"/>
          </w:tcPr>
          <w:p w14:paraId="01875B83" w14:textId="3AE50590" w:rsidR="006064C6" w:rsidRDefault="006064C6" w:rsidP="006064C6">
            <w:pPr>
              <w:pStyle w:val="BodyText"/>
              <w:widowControl w:val="0"/>
              <w:spacing w:after="0"/>
              <w:ind w:left="0" w:right="448"/>
            </w:pPr>
            <w:r>
              <w:t>$268</w:t>
            </w:r>
          </w:p>
        </w:tc>
      </w:tr>
      <w:tr w:rsidR="00796DC1" w14:paraId="27FC3134" w14:textId="77777777" w:rsidTr="00512CCE">
        <w:tc>
          <w:tcPr>
            <w:tcW w:w="3681" w:type="dxa"/>
          </w:tcPr>
          <w:p w14:paraId="3C7BABDC" w14:textId="4840DBDA" w:rsidR="00796DC1" w:rsidRDefault="00796DC1" w:rsidP="00796DC1">
            <w:pPr>
              <w:pStyle w:val="BodyText"/>
              <w:widowControl w:val="0"/>
              <w:spacing w:after="0"/>
              <w:ind w:left="0" w:right="448"/>
            </w:pPr>
            <w:r>
              <w:t>Thames-Coromandel District</w:t>
            </w:r>
          </w:p>
        </w:tc>
        <w:tc>
          <w:tcPr>
            <w:tcW w:w="5528" w:type="dxa"/>
          </w:tcPr>
          <w:p w14:paraId="6F7CF627" w14:textId="7B3F13E2" w:rsidR="00796DC1" w:rsidRDefault="00796DC1" w:rsidP="00796DC1">
            <w:pPr>
              <w:pStyle w:val="BodyText"/>
              <w:widowControl w:val="0"/>
              <w:spacing w:after="0"/>
              <w:ind w:left="0" w:right="448"/>
            </w:pPr>
            <w:r>
              <w:t>$358</w:t>
            </w:r>
          </w:p>
        </w:tc>
      </w:tr>
    </w:tbl>
    <w:p w14:paraId="68CBD6AA" w14:textId="77777777" w:rsidR="00675E7C" w:rsidRPr="00455584" w:rsidRDefault="00313052" w:rsidP="00B573AA">
      <w:pPr>
        <w:pStyle w:val="Heading1"/>
        <w:pBdr>
          <w:bottom w:val="single" w:sz="4" w:space="1" w:color="auto"/>
        </w:pBdr>
        <w:spacing w:line="240" w:lineRule="auto"/>
        <w:rPr>
          <w:rFonts w:cs="Open Sans"/>
          <w:bCs/>
          <w:iCs/>
          <w:smallCaps/>
          <w:color w:val="0085AD"/>
          <w:szCs w:val="28"/>
        </w:rPr>
      </w:pPr>
      <w:r w:rsidRPr="00313052">
        <w:rPr>
          <w:rFonts w:cs="Open Sans"/>
          <w:bCs/>
          <w:iCs/>
          <w:color w:val="0085AD"/>
          <w:szCs w:val="28"/>
        </w:rPr>
        <w:t xml:space="preserve">Discussion </w:t>
      </w:r>
      <w:r>
        <w:rPr>
          <w:rFonts w:cs="Open Sans"/>
          <w:bCs/>
          <w:iCs/>
          <w:color w:val="0085AD"/>
          <w:szCs w:val="28"/>
        </w:rPr>
        <w:br/>
      </w:r>
      <w:proofErr w:type="spellStart"/>
      <w:r w:rsidR="00367871" w:rsidRPr="00367871">
        <w:rPr>
          <w:rFonts w:cs="Open Sans"/>
          <w:bCs/>
          <w:iCs/>
          <w:color w:val="00B2EA"/>
          <w:szCs w:val="28"/>
        </w:rPr>
        <w:t>Matapaki</w:t>
      </w:r>
      <w:proofErr w:type="spellEnd"/>
    </w:p>
    <w:p w14:paraId="13CB2229" w14:textId="77777777" w:rsidR="00A26954" w:rsidRPr="00A90511" w:rsidRDefault="00A26954" w:rsidP="002F1704">
      <w:pPr>
        <w:pStyle w:val="BodyText"/>
        <w:spacing w:before="276"/>
        <w:ind w:left="0" w:right="446"/>
      </w:pPr>
      <w:bookmarkStart w:id="11" w:name="_Ref80436184"/>
      <w:bookmarkStart w:id="12" w:name="_Ref74903591"/>
      <w:r w:rsidRPr="00A90511">
        <w:t>The current Class 4 Venues Policy has a ‘sinking lid’ approach, where Council has the aim of reducing the number of</w:t>
      </w:r>
      <w:r w:rsidRPr="00A90511">
        <w:rPr>
          <w:spacing w:val="-1"/>
        </w:rPr>
        <w:t xml:space="preserve"> </w:t>
      </w:r>
      <w:r w:rsidRPr="00A90511">
        <w:t>gaming machines and</w:t>
      </w:r>
      <w:r w:rsidRPr="00A90511">
        <w:rPr>
          <w:spacing w:val="-2"/>
        </w:rPr>
        <w:t xml:space="preserve"> </w:t>
      </w:r>
      <w:r w:rsidRPr="00A90511">
        <w:t>venues available</w:t>
      </w:r>
      <w:r w:rsidRPr="00A90511">
        <w:rPr>
          <w:spacing w:val="-3"/>
        </w:rPr>
        <w:t xml:space="preserve"> </w:t>
      </w:r>
      <w:r w:rsidRPr="00A90511">
        <w:t>over time, by</w:t>
      </w:r>
      <w:r w:rsidRPr="00A90511">
        <w:rPr>
          <w:spacing w:val="-3"/>
        </w:rPr>
        <w:t xml:space="preserve"> </w:t>
      </w:r>
      <w:r w:rsidRPr="00A90511">
        <w:t>not</w:t>
      </w:r>
      <w:r w:rsidRPr="00A90511">
        <w:rPr>
          <w:spacing w:val="-2"/>
        </w:rPr>
        <w:t xml:space="preserve"> </w:t>
      </w:r>
      <w:r w:rsidRPr="00A90511">
        <w:t>allowing any</w:t>
      </w:r>
      <w:r w:rsidRPr="00A90511">
        <w:rPr>
          <w:spacing w:val="-2"/>
        </w:rPr>
        <w:t xml:space="preserve"> </w:t>
      </w:r>
      <w:r w:rsidRPr="00A90511">
        <w:t>new</w:t>
      </w:r>
      <w:r w:rsidRPr="00A90511">
        <w:rPr>
          <w:spacing w:val="-1"/>
        </w:rPr>
        <w:t xml:space="preserve"> </w:t>
      </w:r>
      <w:r w:rsidRPr="00A90511">
        <w:t xml:space="preserve">venues to be established and having restrictions on venue mergers and relocations. </w:t>
      </w:r>
    </w:p>
    <w:p w14:paraId="72EA38BD" w14:textId="7EE5FECF" w:rsidR="00A26954" w:rsidRPr="00A90511" w:rsidRDefault="00A26954" w:rsidP="002F1704">
      <w:pPr>
        <w:pStyle w:val="BodyText"/>
        <w:spacing w:before="276"/>
        <w:ind w:left="0" w:right="446"/>
      </w:pPr>
      <w:r w:rsidRPr="00A90511">
        <w:t>Under the current TAB Venues</w:t>
      </w:r>
      <w:r w:rsidRPr="00A90511">
        <w:rPr>
          <w:spacing w:val="-8"/>
        </w:rPr>
        <w:t xml:space="preserve"> </w:t>
      </w:r>
      <w:r w:rsidRPr="00A90511">
        <w:t>Policy</w:t>
      </w:r>
      <w:r w:rsidRPr="00A90511">
        <w:rPr>
          <w:spacing w:val="-9"/>
        </w:rPr>
        <w:t xml:space="preserve"> </w:t>
      </w:r>
      <w:r w:rsidRPr="00A90511">
        <w:t>new</w:t>
      </w:r>
      <w:r w:rsidRPr="00A90511">
        <w:rPr>
          <w:spacing w:val="-9"/>
        </w:rPr>
        <w:t xml:space="preserve"> </w:t>
      </w:r>
      <w:r w:rsidRPr="00A90511">
        <w:t>stand-alone</w:t>
      </w:r>
      <w:r w:rsidRPr="00A90511">
        <w:rPr>
          <w:spacing w:val="-9"/>
        </w:rPr>
        <w:t xml:space="preserve"> </w:t>
      </w:r>
      <w:r w:rsidRPr="00A90511">
        <w:t>TAB venues</w:t>
      </w:r>
      <w:r w:rsidRPr="00A90511">
        <w:rPr>
          <w:spacing w:val="-8"/>
        </w:rPr>
        <w:t xml:space="preserve"> </w:t>
      </w:r>
      <w:r>
        <w:t>could</w:t>
      </w:r>
      <w:r w:rsidRPr="00A90511">
        <w:rPr>
          <w:spacing w:val="-9"/>
        </w:rPr>
        <w:t xml:space="preserve"> </w:t>
      </w:r>
      <w:r w:rsidRPr="00A90511">
        <w:t>be</w:t>
      </w:r>
      <w:r w:rsidRPr="00A90511">
        <w:rPr>
          <w:spacing w:val="-9"/>
        </w:rPr>
        <w:t xml:space="preserve"> </w:t>
      </w:r>
      <w:r w:rsidRPr="00A90511">
        <w:t>established</w:t>
      </w:r>
      <w:r w:rsidRPr="00A90511">
        <w:rPr>
          <w:spacing w:val="-9"/>
        </w:rPr>
        <w:t xml:space="preserve"> </w:t>
      </w:r>
      <w:r w:rsidRPr="00A90511">
        <w:t>within</w:t>
      </w:r>
      <w:r w:rsidRPr="00A90511">
        <w:rPr>
          <w:spacing w:val="-9"/>
        </w:rPr>
        <w:t xml:space="preserve"> </w:t>
      </w:r>
      <w:r w:rsidRPr="00A90511">
        <w:t>the</w:t>
      </w:r>
      <w:r w:rsidRPr="00A90511">
        <w:rPr>
          <w:spacing w:val="-10"/>
        </w:rPr>
        <w:t xml:space="preserve"> </w:t>
      </w:r>
      <w:r w:rsidRPr="00A90511">
        <w:t>district,</w:t>
      </w:r>
      <w:r w:rsidRPr="00A90511">
        <w:rPr>
          <w:spacing w:val="-9"/>
        </w:rPr>
        <w:t xml:space="preserve"> </w:t>
      </w:r>
      <w:r w:rsidRPr="00A90511">
        <w:t>with</w:t>
      </w:r>
      <w:r w:rsidRPr="00A90511">
        <w:rPr>
          <w:spacing w:val="-8"/>
        </w:rPr>
        <w:t xml:space="preserve"> </w:t>
      </w:r>
      <w:r w:rsidRPr="00A90511">
        <w:t>their</w:t>
      </w:r>
      <w:r w:rsidRPr="00A90511">
        <w:rPr>
          <w:spacing w:val="-9"/>
        </w:rPr>
        <w:t xml:space="preserve"> </w:t>
      </w:r>
      <w:r w:rsidRPr="00A90511">
        <w:t>location restricted</w:t>
      </w:r>
      <w:r w:rsidRPr="00A90511">
        <w:rPr>
          <w:spacing w:val="-2"/>
        </w:rPr>
        <w:t xml:space="preserve"> </w:t>
      </w:r>
      <w:r w:rsidRPr="00A90511">
        <w:t>to</w:t>
      </w:r>
      <w:r w:rsidRPr="00A90511">
        <w:rPr>
          <w:spacing w:val="-2"/>
        </w:rPr>
        <w:t xml:space="preserve"> </w:t>
      </w:r>
      <w:r w:rsidRPr="00A90511">
        <w:t>areas</w:t>
      </w:r>
      <w:r w:rsidRPr="00A90511">
        <w:rPr>
          <w:spacing w:val="-1"/>
        </w:rPr>
        <w:t xml:space="preserve"> </w:t>
      </w:r>
      <w:r w:rsidRPr="00A90511">
        <w:t>zoned</w:t>
      </w:r>
      <w:r w:rsidRPr="00A90511">
        <w:rPr>
          <w:spacing w:val="-2"/>
        </w:rPr>
        <w:t xml:space="preserve"> </w:t>
      </w:r>
      <w:r w:rsidRPr="00A90511">
        <w:t>under</w:t>
      </w:r>
      <w:r w:rsidRPr="00A90511">
        <w:rPr>
          <w:spacing w:val="-1"/>
        </w:rPr>
        <w:t xml:space="preserve"> </w:t>
      </w:r>
      <w:r w:rsidRPr="00A90511">
        <w:t>the</w:t>
      </w:r>
      <w:r w:rsidRPr="00A90511">
        <w:rPr>
          <w:spacing w:val="-2"/>
        </w:rPr>
        <w:t xml:space="preserve"> </w:t>
      </w:r>
      <w:r w:rsidRPr="00A90511">
        <w:t>Waikato</w:t>
      </w:r>
      <w:r w:rsidRPr="00A90511">
        <w:rPr>
          <w:spacing w:val="-4"/>
        </w:rPr>
        <w:t xml:space="preserve"> </w:t>
      </w:r>
      <w:r w:rsidRPr="00A90511">
        <w:t>District</w:t>
      </w:r>
      <w:r w:rsidRPr="00A90511">
        <w:rPr>
          <w:spacing w:val="-2"/>
        </w:rPr>
        <w:t xml:space="preserve"> </w:t>
      </w:r>
      <w:r w:rsidRPr="00A90511">
        <w:t>Plan</w:t>
      </w:r>
      <w:r w:rsidRPr="00A90511">
        <w:rPr>
          <w:spacing w:val="-5"/>
        </w:rPr>
        <w:t xml:space="preserve"> </w:t>
      </w:r>
      <w:r w:rsidRPr="00A90511">
        <w:t>to</w:t>
      </w:r>
      <w:r w:rsidRPr="00A90511">
        <w:rPr>
          <w:spacing w:val="-2"/>
        </w:rPr>
        <w:t xml:space="preserve"> </w:t>
      </w:r>
      <w:r w:rsidRPr="00A90511">
        <w:t>allow</w:t>
      </w:r>
      <w:r w:rsidRPr="00A90511">
        <w:rPr>
          <w:spacing w:val="-3"/>
        </w:rPr>
        <w:t xml:space="preserve"> </w:t>
      </w:r>
      <w:r w:rsidRPr="00A90511">
        <w:t>commercial</w:t>
      </w:r>
      <w:r w:rsidRPr="00A90511">
        <w:rPr>
          <w:spacing w:val="-4"/>
        </w:rPr>
        <w:t xml:space="preserve"> </w:t>
      </w:r>
      <w:r w:rsidRPr="00A90511">
        <w:t>activities</w:t>
      </w:r>
      <w:r w:rsidRPr="00A90511">
        <w:rPr>
          <w:spacing w:val="-4"/>
        </w:rPr>
        <w:t xml:space="preserve"> </w:t>
      </w:r>
      <w:r w:rsidRPr="00A90511">
        <w:t>as permitted activities. TAB terminals located in other venues are not within the legislative scope of this policy. The current policy contain</w:t>
      </w:r>
      <w:r w:rsidR="00AE7B9A">
        <w:t>s</w:t>
      </w:r>
      <w:r w:rsidRPr="00A90511">
        <w:t xml:space="preserve"> a clause that states Council will consider TAB efforts to reduce the number of TAB terminals in other venues as a part of any application for a stand-alone license.</w:t>
      </w:r>
    </w:p>
    <w:p w14:paraId="04286540" w14:textId="77777777" w:rsidR="00A26954" w:rsidRPr="00A90511" w:rsidRDefault="00A26954" w:rsidP="00A26954">
      <w:pPr>
        <w:pStyle w:val="BodyText"/>
        <w:ind w:right="444"/>
        <w:rPr>
          <w:i/>
          <w:iCs/>
        </w:rPr>
      </w:pPr>
      <w:r w:rsidRPr="00A90511">
        <w:rPr>
          <w:i/>
          <w:iCs/>
          <w:sz w:val="20"/>
        </w:rPr>
        <w:t>Note: Online gambling, especially at offshore gambling sites, has become popular over the past decade. As</w:t>
      </w:r>
      <w:r w:rsidRPr="00A90511">
        <w:rPr>
          <w:i/>
          <w:iCs/>
          <w:spacing w:val="-3"/>
          <w:sz w:val="20"/>
        </w:rPr>
        <w:t xml:space="preserve"> </w:t>
      </w:r>
      <w:r w:rsidRPr="00A90511">
        <w:rPr>
          <w:i/>
          <w:iCs/>
          <w:sz w:val="20"/>
        </w:rPr>
        <w:t>only</w:t>
      </w:r>
      <w:r w:rsidRPr="00A90511">
        <w:rPr>
          <w:i/>
          <w:iCs/>
          <w:spacing w:val="-4"/>
          <w:sz w:val="20"/>
        </w:rPr>
        <w:t xml:space="preserve"> </w:t>
      </w:r>
      <w:r w:rsidRPr="00A90511">
        <w:rPr>
          <w:i/>
          <w:iCs/>
          <w:sz w:val="20"/>
        </w:rPr>
        <w:t>a</w:t>
      </w:r>
      <w:r w:rsidRPr="00A90511">
        <w:rPr>
          <w:i/>
          <w:iCs/>
          <w:spacing w:val="-4"/>
          <w:sz w:val="20"/>
        </w:rPr>
        <w:t xml:space="preserve"> </w:t>
      </w:r>
      <w:r w:rsidRPr="00A90511">
        <w:rPr>
          <w:i/>
          <w:iCs/>
          <w:sz w:val="20"/>
        </w:rPr>
        <w:t>mobile</w:t>
      </w:r>
      <w:r w:rsidRPr="00A90511">
        <w:rPr>
          <w:i/>
          <w:iCs/>
          <w:spacing w:val="-4"/>
          <w:sz w:val="20"/>
        </w:rPr>
        <w:t xml:space="preserve"> </w:t>
      </w:r>
      <w:r w:rsidRPr="00A90511">
        <w:rPr>
          <w:i/>
          <w:iCs/>
          <w:sz w:val="20"/>
        </w:rPr>
        <w:t>device,</w:t>
      </w:r>
      <w:r w:rsidRPr="00A90511">
        <w:rPr>
          <w:i/>
          <w:iCs/>
          <w:spacing w:val="-4"/>
          <w:sz w:val="20"/>
        </w:rPr>
        <w:t xml:space="preserve"> a </w:t>
      </w:r>
      <w:r w:rsidRPr="00A90511">
        <w:rPr>
          <w:i/>
          <w:iCs/>
          <w:sz w:val="20"/>
        </w:rPr>
        <w:t>credit</w:t>
      </w:r>
      <w:r w:rsidRPr="00A90511">
        <w:rPr>
          <w:i/>
          <w:iCs/>
          <w:spacing w:val="-5"/>
          <w:sz w:val="20"/>
        </w:rPr>
        <w:t xml:space="preserve"> </w:t>
      </w:r>
      <w:r w:rsidRPr="00A90511">
        <w:rPr>
          <w:i/>
          <w:iCs/>
          <w:sz w:val="20"/>
        </w:rPr>
        <w:t>card</w:t>
      </w:r>
      <w:r w:rsidRPr="00A90511">
        <w:rPr>
          <w:i/>
          <w:iCs/>
          <w:spacing w:val="-4"/>
          <w:sz w:val="20"/>
        </w:rPr>
        <w:t xml:space="preserve"> </w:t>
      </w:r>
      <w:r w:rsidRPr="00A90511">
        <w:rPr>
          <w:i/>
          <w:iCs/>
          <w:sz w:val="20"/>
        </w:rPr>
        <w:t>and</w:t>
      </w:r>
      <w:r w:rsidRPr="00A90511">
        <w:rPr>
          <w:i/>
          <w:iCs/>
          <w:spacing w:val="-4"/>
          <w:sz w:val="20"/>
        </w:rPr>
        <w:t xml:space="preserve"> </w:t>
      </w:r>
      <w:r w:rsidRPr="00A90511">
        <w:rPr>
          <w:i/>
          <w:iCs/>
          <w:sz w:val="20"/>
        </w:rPr>
        <w:t>internet</w:t>
      </w:r>
      <w:r w:rsidRPr="00A90511">
        <w:rPr>
          <w:i/>
          <w:iCs/>
          <w:spacing w:val="-5"/>
          <w:sz w:val="20"/>
        </w:rPr>
        <w:t xml:space="preserve"> </w:t>
      </w:r>
      <w:r w:rsidRPr="00A90511">
        <w:rPr>
          <w:i/>
          <w:iCs/>
          <w:sz w:val="20"/>
        </w:rPr>
        <w:t>connection</w:t>
      </w:r>
      <w:r w:rsidRPr="00A90511">
        <w:rPr>
          <w:i/>
          <w:iCs/>
          <w:spacing w:val="-4"/>
          <w:sz w:val="20"/>
        </w:rPr>
        <w:t xml:space="preserve"> </w:t>
      </w:r>
      <w:r w:rsidRPr="00A90511">
        <w:rPr>
          <w:i/>
          <w:iCs/>
          <w:sz w:val="20"/>
        </w:rPr>
        <w:t>are</w:t>
      </w:r>
      <w:r w:rsidRPr="00A90511">
        <w:rPr>
          <w:i/>
          <w:iCs/>
          <w:spacing w:val="-3"/>
          <w:sz w:val="20"/>
        </w:rPr>
        <w:t xml:space="preserve"> </w:t>
      </w:r>
      <w:r w:rsidRPr="00A90511">
        <w:rPr>
          <w:i/>
          <w:iCs/>
          <w:sz w:val="20"/>
        </w:rPr>
        <w:t>needed</w:t>
      </w:r>
      <w:r w:rsidRPr="00A90511">
        <w:rPr>
          <w:i/>
          <w:iCs/>
          <w:spacing w:val="-4"/>
          <w:sz w:val="20"/>
        </w:rPr>
        <w:t xml:space="preserve"> </w:t>
      </w:r>
      <w:r w:rsidRPr="00A90511">
        <w:rPr>
          <w:i/>
          <w:iCs/>
          <w:sz w:val="20"/>
        </w:rPr>
        <w:t>to</w:t>
      </w:r>
      <w:r w:rsidRPr="00A90511">
        <w:rPr>
          <w:i/>
          <w:iCs/>
          <w:spacing w:val="-6"/>
          <w:sz w:val="20"/>
        </w:rPr>
        <w:t xml:space="preserve"> </w:t>
      </w:r>
      <w:r w:rsidRPr="00A90511">
        <w:rPr>
          <w:i/>
          <w:iCs/>
          <w:sz w:val="20"/>
        </w:rPr>
        <w:t>gamble in this way, the convenience is a huge draw for New Zealanders to game online, particularly since Covid-19 lockdowns began in 2020. Online gaming is difficult to regulate, and central government undertaken reviews of</w:t>
      </w:r>
      <w:r w:rsidRPr="00A90511">
        <w:rPr>
          <w:i/>
          <w:iCs/>
          <w:spacing w:val="-2"/>
          <w:sz w:val="20"/>
        </w:rPr>
        <w:t xml:space="preserve"> </w:t>
      </w:r>
      <w:r w:rsidRPr="00A90511">
        <w:rPr>
          <w:i/>
          <w:iCs/>
          <w:sz w:val="20"/>
        </w:rPr>
        <w:t>the</w:t>
      </w:r>
      <w:r w:rsidRPr="00A90511">
        <w:rPr>
          <w:i/>
          <w:iCs/>
          <w:spacing w:val="-3"/>
          <w:sz w:val="20"/>
        </w:rPr>
        <w:t xml:space="preserve"> </w:t>
      </w:r>
      <w:r w:rsidRPr="00A90511">
        <w:rPr>
          <w:i/>
          <w:iCs/>
          <w:sz w:val="20"/>
        </w:rPr>
        <w:t>Gambling</w:t>
      </w:r>
      <w:r w:rsidRPr="00A90511">
        <w:rPr>
          <w:i/>
          <w:iCs/>
          <w:spacing w:val="-5"/>
          <w:sz w:val="20"/>
        </w:rPr>
        <w:t xml:space="preserve"> </w:t>
      </w:r>
      <w:r w:rsidRPr="00A90511">
        <w:rPr>
          <w:i/>
          <w:iCs/>
          <w:sz w:val="20"/>
        </w:rPr>
        <w:t>Act</w:t>
      </w:r>
      <w:r w:rsidRPr="00A90511">
        <w:rPr>
          <w:i/>
          <w:iCs/>
          <w:spacing w:val="-3"/>
          <w:sz w:val="20"/>
        </w:rPr>
        <w:t xml:space="preserve"> </w:t>
      </w:r>
      <w:r w:rsidRPr="00A90511">
        <w:rPr>
          <w:i/>
          <w:iCs/>
          <w:sz w:val="20"/>
        </w:rPr>
        <w:t>2003</w:t>
      </w:r>
      <w:r w:rsidRPr="00A90511">
        <w:rPr>
          <w:i/>
          <w:iCs/>
          <w:spacing w:val="-5"/>
          <w:sz w:val="20"/>
        </w:rPr>
        <w:t xml:space="preserve"> </w:t>
      </w:r>
      <w:r w:rsidRPr="00A90511">
        <w:rPr>
          <w:i/>
          <w:iCs/>
          <w:sz w:val="20"/>
        </w:rPr>
        <w:t>to</w:t>
      </w:r>
      <w:r w:rsidRPr="00A90511">
        <w:rPr>
          <w:i/>
          <w:iCs/>
          <w:spacing w:val="-5"/>
          <w:sz w:val="20"/>
        </w:rPr>
        <w:t xml:space="preserve"> </w:t>
      </w:r>
      <w:r w:rsidRPr="00A90511">
        <w:rPr>
          <w:i/>
          <w:iCs/>
          <w:sz w:val="20"/>
        </w:rPr>
        <w:t>keep</w:t>
      </w:r>
      <w:r w:rsidRPr="00A90511">
        <w:rPr>
          <w:i/>
          <w:iCs/>
          <w:spacing w:val="-2"/>
          <w:sz w:val="20"/>
        </w:rPr>
        <w:t xml:space="preserve"> </w:t>
      </w:r>
      <w:r w:rsidRPr="00A90511">
        <w:rPr>
          <w:i/>
          <w:iCs/>
          <w:sz w:val="20"/>
        </w:rPr>
        <w:t>up</w:t>
      </w:r>
      <w:r w:rsidRPr="00A90511">
        <w:rPr>
          <w:i/>
          <w:iCs/>
          <w:spacing w:val="-5"/>
          <w:sz w:val="20"/>
        </w:rPr>
        <w:t xml:space="preserve"> </w:t>
      </w:r>
      <w:r w:rsidRPr="00A90511">
        <w:rPr>
          <w:i/>
          <w:iCs/>
          <w:sz w:val="20"/>
        </w:rPr>
        <w:t>with</w:t>
      </w:r>
      <w:r w:rsidRPr="00A90511">
        <w:rPr>
          <w:i/>
          <w:iCs/>
          <w:spacing w:val="-3"/>
          <w:sz w:val="20"/>
        </w:rPr>
        <w:t xml:space="preserve"> </w:t>
      </w:r>
      <w:r w:rsidRPr="00A90511">
        <w:rPr>
          <w:i/>
          <w:iCs/>
          <w:sz w:val="20"/>
        </w:rPr>
        <w:t>the</w:t>
      </w:r>
      <w:r w:rsidRPr="00A90511">
        <w:rPr>
          <w:i/>
          <w:iCs/>
          <w:spacing w:val="-5"/>
          <w:sz w:val="20"/>
        </w:rPr>
        <w:t xml:space="preserve"> </w:t>
      </w:r>
      <w:r w:rsidRPr="00A90511">
        <w:rPr>
          <w:i/>
          <w:iCs/>
          <w:sz w:val="20"/>
        </w:rPr>
        <w:t>increasing</w:t>
      </w:r>
      <w:r w:rsidRPr="00A90511">
        <w:rPr>
          <w:i/>
          <w:iCs/>
          <w:spacing w:val="-2"/>
          <w:sz w:val="20"/>
        </w:rPr>
        <w:t xml:space="preserve"> </w:t>
      </w:r>
      <w:r w:rsidRPr="00A90511">
        <w:rPr>
          <w:i/>
          <w:iCs/>
          <w:sz w:val="20"/>
        </w:rPr>
        <w:t>online</w:t>
      </w:r>
      <w:r w:rsidRPr="00A90511">
        <w:rPr>
          <w:i/>
          <w:iCs/>
          <w:spacing w:val="-5"/>
          <w:sz w:val="20"/>
        </w:rPr>
        <w:t xml:space="preserve"> </w:t>
      </w:r>
      <w:r w:rsidRPr="00A90511">
        <w:rPr>
          <w:i/>
          <w:iCs/>
          <w:sz w:val="20"/>
        </w:rPr>
        <w:t>presence.</w:t>
      </w:r>
    </w:p>
    <w:p w14:paraId="7AFFFBB0" w14:textId="0323289F" w:rsidR="00212BEF" w:rsidRDefault="00EC36D0" w:rsidP="00987185">
      <w:pPr>
        <w:pStyle w:val="BodyText"/>
        <w:ind w:left="0" w:right="-2"/>
      </w:pPr>
      <w:r w:rsidRPr="00A90511">
        <w:t>In adopting each of these policies, WDC must</w:t>
      </w:r>
      <w:r w:rsidRPr="00EC36D0">
        <w:t xml:space="preserve"> </w:t>
      </w:r>
      <w:r w:rsidRPr="00A90511">
        <w:t>have regard to the social costs and benefits of Class</w:t>
      </w:r>
      <w:r w:rsidRPr="00EC36D0">
        <w:t xml:space="preserve"> </w:t>
      </w:r>
      <w:r w:rsidRPr="00A90511">
        <w:t>4</w:t>
      </w:r>
      <w:r w:rsidRPr="00EC36D0">
        <w:t xml:space="preserve"> </w:t>
      </w:r>
      <w:r w:rsidRPr="00A90511">
        <w:t>and</w:t>
      </w:r>
      <w:r w:rsidRPr="00EC36D0">
        <w:t xml:space="preserve"> </w:t>
      </w:r>
      <w:r w:rsidRPr="00A90511">
        <w:t>stand-alone</w:t>
      </w:r>
      <w:r w:rsidRPr="00EC36D0">
        <w:t xml:space="preserve"> </w:t>
      </w:r>
      <w:r w:rsidRPr="00A90511">
        <w:t>TAB</w:t>
      </w:r>
      <w:r w:rsidRPr="00EC36D0">
        <w:t xml:space="preserve"> </w:t>
      </w:r>
      <w:r w:rsidRPr="00A90511">
        <w:t>gambling</w:t>
      </w:r>
      <w:r w:rsidRPr="00EC36D0">
        <w:t xml:space="preserve"> </w:t>
      </w:r>
      <w:r w:rsidRPr="00A90511">
        <w:t>within</w:t>
      </w:r>
      <w:r w:rsidRPr="00EC36D0">
        <w:t xml:space="preserve"> </w:t>
      </w:r>
      <w:r w:rsidRPr="00A90511">
        <w:t>its</w:t>
      </w:r>
      <w:r w:rsidRPr="00EC36D0">
        <w:t xml:space="preserve"> </w:t>
      </w:r>
      <w:r w:rsidRPr="00A90511">
        <w:t>district.</w:t>
      </w:r>
      <w:r w:rsidRPr="00EC36D0">
        <w:t xml:space="preserve"> </w:t>
      </w:r>
      <w:r>
        <w:t xml:space="preserve">This </w:t>
      </w:r>
      <w:r w:rsidR="008225D8">
        <w:t xml:space="preserve">is specified in </w:t>
      </w:r>
      <w:r w:rsidR="00633B88">
        <w:t xml:space="preserve">both </w:t>
      </w:r>
      <w:r w:rsidR="008225D8">
        <w:t>s101 of the GA 2003</w:t>
      </w:r>
      <w:r w:rsidR="00633B88">
        <w:t xml:space="preserve"> and s</w:t>
      </w:r>
      <w:r w:rsidR="00EA5923">
        <w:t>96 of the R</w:t>
      </w:r>
      <w:r w:rsidR="00F11AB2">
        <w:t>I</w:t>
      </w:r>
      <w:r w:rsidR="00EA5923">
        <w:t>A</w:t>
      </w:r>
      <w:r w:rsidR="0028595F">
        <w:t xml:space="preserve"> </w:t>
      </w:r>
      <w:r w:rsidR="00EA5923">
        <w:t xml:space="preserve">2020. </w:t>
      </w:r>
    </w:p>
    <w:p w14:paraId="63A7EE1C" w14:textId="0DCD0844" w:rsidR="0028595F" w:rsidRDefault="00806F85" w:rsidP="00B44981">
      <w:pPr>
        <w:pStyle w:val="BodyText"/>
        <w:spacing w:after="120"/>
        <w:ind w:left="0"/>
      </w:pPr>
      <w:r>
        <w:t>According to s101 of the GA 200</w:t>
      </w:r>
      <w:r w:rsidR="00956F30">
        <w:t xml:space="preserve">3 and </w:t>
      </w:r>
      <w:r w:rsidR="0028595F">
        <w:t xml:space="preserve">s96 of the RIA 2020, </w:t>
      </w:r>
      <w:r w:rsidR="00373D64">
        <w:t>WDC may also consi</w:t>
      </w:r>
      <w:r w:rsidR="00787F83">
        <w:t xml:space="preserve">der </w:t>
      </w:r>
      <w:r w:rsidR="00491B04">
        <w:t xml:space="preserve">the </w:t>
      </w:r>
      <w:r w:rsidR="0028595F">
        <w:t>following matters</w:t>
      </w:r>
      <w:r w:rsidR="00D93B31">
        <w:t xml:space="preserve"> when </w:t>
      </w:r>
      <w:r w:rsidR="008D29AC">
        <w:t xml:space="preserve">determining </w:t>
      </w:r>
      <w:r w:rsidR="00B35837">
        <w:t>its policy</w:t>
      </w:r>
      <w:r w:rsidR="007C310C">
        <w:t xml:space="preserve"> (Refer to Attachment 3)</w:t>
      </w:r>
      <w:r w:rsidR="0028595F">
        <w:t>:</w:t>
      </w:r>
    </w:p>
    <w:p w14:paraId="50CF7119" w14:textId="0C3A6656" w:rsidR="0028595F" w:rsidRDefault="0028595F" w:rsidP="0028595F">
      <w:pPr>
        <w:pStyle w:val="BodyText"/>
        <w:numPr>
          <w:ilvl w:val="0"/>
          <w:numId w:val="22"/>
        </w:numPr>
        <w:spacing w:after="0"/>
        <w:ind w:right="-2"/>
      </w:pPr>
      <w:r>
        <w:t>C</w:t>
      </w:r>
      <w:r w:rsidR="00491B04">
        <w:t>haracteristics of the distri</w:t>
      </w:r>
      <w:r w:rsidR="00091618">
        <w:t>ct</w:t>
      </w:r>
      <w:r>
        <w:t>.</w:t>
      </w:r>
    </w:p>
    <w:p w14:paraId="54DB8535" w14:textId="65FE898D" w:rsidR="0028595F" w:rsidRDefault="0028595F" w:rsidP="0028595F">
      <w:pPr>
        <w:pStyle w:val="BodyText"/>
        <w:numPr>
          <w:ilvl w:val="0"/>
          <w:numId w:val="22"/>
        </w:numPr>
        <w:spacing w:after="0"/>
        <w:ind w:right="-2"/>
      </w:pPr>
      <w:r>
        <w:t>L</w:t>
      </w:r>
      <w:r w:rsidR="00091618">
        <w:t xml:space="preserve">ocation of </w:t>
      </w:r>
      <w:r w:rsidR="00415AB2">
        <w:t>education facilities</w:t>
      </w:r>
      <w:r w:rsidR="00B44981">
        <w:t>.</w:t>
      </w:r>
    </w:p>
    <w:p w14:paraId="46B2591C" w14:textId="50EF111E" w:rsidR="0028595F" w:rsidRDefault="0028595F" w:rsidP="0028595F">
      <w:pPr>
        <w:pStyle w:val="BodyText"/>
        <w:numPr>
          <w:ilvl w:val="0"/>
          <w:numId w:val="22"/>
        </w:numPr>
        <w:spacing w:after="0"/>
        <w:ind w:right="-2"/>
      </w:pPr>
      <w:r>
        <w:t>T</w:t>
      </w:r>
      <w:r w:rsidR="00415AB2">
        <w:t xml:space="preserve">he number of gaming machines that </w:t>
      </w:r>
      <w:r w:rsidR="00C954EE">
        <w:t>should be permitted</w:t>
      </w:r>
      <w:r w:rsidR="00B44981">
        <w:t>.</w:t>
      </w:r>
    </w:p>
    <w:p w14:paraId="660F8707" w14:textId="6C19C374" w:rsidR="0028595F" w:rsidRDefault="00C954EE" w:rsidP="0028595F">
      <w:pPr>
        <w:pStyle w:val="BodyText"/>
        <w:numPr>
          <w:ilvl w:val="0"/>
          <w:numId w:val="22"/>
        </w:numPr>
        <w:spacing w:after="0"/>
        <w:ind w:right="-2"/>
      </w:pPr>
      <w:r>
        <w:t>cumulative effects of additional opportunities for gambling in the district</w:t>
      </w:r>
      <w:r w:rsidR="00B44981">
        <w:t>.</w:t>
      </w:r>
    </w:p>
    <w:p w14:paraId="45DAF617" w14:textId="7673C1BA" w:rsidR="0028595F" w:rsidRDefault="0028595F" w:rsidP="0028595F">
      <w:pPr>
        <w:pStyle w:val="BodyText"/>
        <w:numPr>
          <w:ilvl w:val="0"/>
          <w:numId w:val="22"/>
        </w:numPr>
        <w:spacing w:after="0"/>
        <w:ind w:right="-2"/>
      </w:pPr>
      <w:r>
        <w:t xml:space="preserve">How </w:t>
      </w:r>
      <w:r w:rsidR="00C954EE">
        <w:t>close any ven</w:t>
      </w:r>
      <w:r w:rsidR="00806F85">
        <w:t>u</w:t>
      </w:r>
      <w:r w:rsidR="00C954EE">
        <w:t>e should be permitted to any other venue</w:t>
      </w:r>
      <w:r w:rsidR="00B44981">
        <w:t>.</w:t>
      </w:r>
    </w:p>
    <w:p w14:paraId="214251BA" w14:textId="2A205632" w:rsidR="00BB1875" w:rsidRDefault="0028595F" w:rsidP="0028595F">
      <w:pPr>
        <w:pStyle w:val="BodyText"/>
        <w:numPr>
          <w:ilvl w:val="0"/>
          <w:numId w:val="22"/>
        </w:numPr>
        <w:ind w:right="-2"/>
      </w:pPr>
      <w:r>
        <w:t>A</w:t>
      </w:r>
      <w:r w:rsidR="00C954EE">
        <w:t>nd the primary activity at any venue</w:t>
      </w:r>
      <w:r w:rsidR="00806F85">
        <w:t xml:space="preserve">. </w:t>
      </w:r>
    </w:p>
    <w:p w14:paraId="3E833D25" w14:textId="77777777" w:rsidR="00D24C3E" w:rsidRDefault="00D24C3E" w:rsidP="00212BEF">
      <w:pPr>
        <w:pStyle w:val="BodyText"/>
        <w:spacing w:before="1"/>
        <w:ind w:left="0"/>
        <w:rPr>
          <w:b/>
          <w:bCs/>
        </w:rPr>
      </w:pPr>
      <w:r>
        <w:rPr>
          <w:b/>
          <w:bCs/>
        </w:rPr>
        <w:br w:type="page"/>
      </w:r>
    </w:p>
    <w:p w14:paraId="278D636B" w14:textId="3155AAB9" w:rsidR="00212BEF" w:rsidRPr="0081029D" w:rsidRDefault="00212BEF" w:rsidP="00212BEF">
      <w:pPr>
        <w:pStyle w:val="BodyText"/>
        <w:spacing w:before="1"/>
        <w:ind w:left="0"/>
        <w:rPr>
          <w:b/>
          <w:bCs/>
        </w:rPr>
      </w:pPr>
      <w:r w:rsidRPr="0081029D">
        <w:rPr>
          <w:b/>
          <w:bCs/>
        </w:rPr>
        <w:lastRenderedPageBreak/>
        <w:t>Key Trends / Information from the Social Impact report</w:t>
      </w:r>
    </w:p>
    <w:p w14:paraId="285FECE3" w14:textId="7BEE1C2F" w:rsidR="00EC36D0" w:rsidRPr="00A90511" w:rsidRDefault="003A2E3B" w:rsidP="00EC36D0">
      <w:pPr>
        <w:pStyle w:val="BodyText"/>
        <w:ind w:left="0" w:right="-2"/>
      </w:pPr>
      <w:proofErr w:type="gramStart"/>
      <w:r>
        <w:t>In order to</w:t>
      </w:r>
      <w:proofErr w:type="gramEnd"/>
      <w:r>
        <w:t xml:space="preserve"> address the requirement to have regard for the social impact of gambling within the district, staff have undertaken</w:t>
      </w:r>
      <w:r w:rsidR="006D0D1E">
        <w:t xml:space="preserve"> a</w:t>
      </w:r>
      <w:r w:rsidR="00EC36D0" w:rsidRPr="00EC36D0">
        <w:t xml:space="preserve"> </w:t>
      </w:r>
      <w:r w:rsidR="00EC36D0" w:rsidRPr="00A90511">
        <w:t>Social</w:t>
      </w:r>
      <w:r w:rsidR="00EC36D0" w:rsidRPr="00EC36D0">
        <w:t xml:space="preserve"> </w:t>
      </w:r>
      <w:r w:rsidR="00EC36D0" w:rsidRPr="00A90511">
        <w:t>Impact</w:t>
      </w:r>
      <w:r w:rsidR="00EC36D0" w:rsidRPr="00EC36D0">
        <w:t xml:space="preserve"> </w:t>
      </w:r>
      <w:r w:rsidR="00EC36D0" w:rsidRPr="00A90511">
        <w:t>Report</w:t>
      </w:r>
      <w:r w:rsidR="006D0D1E">
        <w:t xml:space="preserve"> (SIR)</w:t>
      </w:r>
      <w:r w:rsidR="00BC4309">
        <w:t xml:space="preserve"> (Attachment 1)</w:t>
      </w:r>
      <w:r w:rsidR="006D0D1E">
        <w:t>. This SIR</w:t>
      </w:r>
      <w:r w:rsidR="00EC36D0" w:rsidRPr="00A90511">
        <w:t xml:space="preserve"> seeks</w:t>
      </w:r>
      <w:r w:rsidR="00EC36D0" w:rsidRPr="00EC36D0">
        <w:t xml:space="preserve"> </w:t>
      </w:r>
      <w:r w:rsidR="00EC36D0" w:rsidRPr="00A90511">
        <w:t>to</w:t>
      </w:r>
      <w:r w:rsidR="00EC36D0" w:rsidRPr="00EC36D0">
        <w:t xml:space="preserve"> </w:t>
      </w:r>
      <w:r w:rsidR="00EC36D0" w:rsidRPr="00A90511">
        <w:t>discuss</w:t>
      </w:r>
      <w:r w:rsidR="00EC36D0" w:rsidRPr="00EC36D0">
        <w:t xml:space="preserve"> </w:t>
      </w:r>
      <w:r w:rsidR="00EC36D0" w:rsidRPr="00A90511">
        <w:t>the</w:t>
      </w:r>
      <w:r w:rsidR="00EC36D0" w:rsidRPr="00EC36D0">
        <w:t xml:space="preserve"> </w:t>
      </w:r>
      <w:r w:rsidR="00EC36D0" w:rsidRPr="00A90511">
        <w:t>social</w:t>
      </w:r>
      <w:r w:rsidR="00EC36D0" w:rsidRPr="00EC36D0">
        <w:t xml:space="preserve"> </w:t>
      </w:r>
      <w:r w:rsidR="00EC36D0" w:rsidRPr="00A90511">
        <w:t>costs</w:t>
      </w:r>
      <w:r w:rsidR="00EC36D0" w:rsidRPr="00EC36D0">
        <w:t xml:space="preserve"> </w:t>
      </w:r>
      <w:r w:rsidR="00EC36D0" w:rsidRPr="00A90511">
        <w:t>and</w:t>
      </w:r>
      <w:r w:rsidR="00EC36D0" w:rsidRPr="00EC36D0">
        <w:t xml:space="preserve"> </w:t>
      </w:r>
      <w:r w:rsidR="00EC36D0" w:rsidRPr="00A90511">
        <w:t>benefits</w:t>
      </w:r>
      <w:r w:rsidR="00EC36D0" w:rsidRPr="00EC36D0">
        <w:t xml:space="preserve"> </w:t>
      </w:r>
      <w:r w:rsidR="00EC36D0" w:rsidRPr="00A90511">
        <w:t>of</w:t>
      </w:r>
      <w:r w:rsidR="00EC36D0" w:rsidRPr="00EC36D0">
        <w:t xml:space="preserve"> </w:t>
      </w:r>
      <w:r w:rsidR="00EC36D0" w:rsidRPr="00A90511">
        <w:t>Class</w:t>
      </w:r>
      <w:r w:rsidR="00EC36D0" w:rsidRPr="00EC36D0">
        <w:t xml:space="preserve"> </w:t>
      </w:r>
      <w:r w:rsidR="00EC36D0" w:rsidRPr="00A90511">
        <w:t>4</w:t>
      </w:r>
      <w:r w:rsidR="00EC36D0" w:rsidRPr="00EC36D0">
        <w:t xml:space="preserve"> </w:t>
      </w:r>
      <w:r w:rsidR="00EC36D0" w:rsidRPr="00A90511">
        <w:t>and</w:t>
      </w:r>
      <w:r w:rsidR="00EC36D0" w:rsidRPr="00EC36D0">
        <w:t xml:space="preserve"> </w:t>
      </w:r>
      <w:r w:rsidR="00EC36D0" w:rsidRPr="00A90511">
        <w:t>TAB</w:t>
      </w:r>
      <w:r w:rsidR="00EC36D0" w:rsidRPr="00EC36D0">
        <w:t xml:space="preserve"> </w:t>
      </w:r>
      <w:r w:rsidR="00EC36D0" w:rsidRPr="00A90511">
        <w:t>gambling</w:t>
      </w:r>
      <w:r w:rsidR="00EC36D0" w:rsidRPr="00EC36D0">
        <w:t xml:space="preserve"> </w:t>
      </w:r>
      <w:r w:rsidR="00EC36D0" w:rsidRPr="00A90511">
        <w:t>in</w:t>
      </w:r>
      <w:r w:rsidR="00EC36D0" w:rsidRPr="00EC36D0">
        <w:t xml:space="preserve"> </w:t>
      </w:r>
      <w:r w:rsidR="00EC36D0" w:rsidRPr="00A90511">
        <w:t>New Zealand</w:t>
      </w:r>
      <w:r w:rsidR="00EC36D0" w:rsidRPr="00EC36D0">
        <w:t xml:space="preserve"> </w:t>
      </w:r>
      <w:r w:rsidR="00EC36D0" w:rsidRPr="00A90511">
        <w:t>and</w:t>
      </w:r>
      <w:r w:rsidR="00EC36D0" w:rsidRPr="00EC36D0">
        <w:t xml:space="preserve"> </w:t>
      </w:r>
      <w:r w:rsidR="00EC36D0" w:rsidRPr="00A90511">
        <w:t>more</w:t>
      </w:r>
      <w:r w:rsidR="00EC36D0" w:rsidRPr="00EC36D0">
        <w:t xml:space="preserve"> </w:t>
      </w:r>
      <w:r w:rsidR="00EC36D0" w:rsidRPr="00A90511">
        <w:t>specifically</w:t>
      </w:r>
      <w:r w:rsidR="00EC36D0" w:rsidRPr="00EC36D0">
        <w:t xml:space="preserve"> </w:t>
      </w:r>
      <w:r w:rsidR="00EC36D0" w:rsidRPr="00A90511">
        <w:t>for</w:t>
      </w:r>
      <w:r w:rsidR="00EC36D0" w:rsidRPr="00EC36D0">
        <w:t xml:space="preserve"> </w:t>
      </w:r>
      <w:r w:rsidR="00EC36D0" w:rsidRPr="00A90511">
        <w:t>the</w:t>
      </w:r>
      <w:r w:rsidR="00EC36D0" w:rsidRPr="00EC36D0">
        <w:t xml:space="preserve"> </w:t>
      </w:r>
      <w:r w:rsidR="00EC36D0" w:rsidRPr="00A90511">
        <w:t>residents</w:t>
      </w:r>
      <w:r w:rsidR="00EC36D0" w:rsidRPr="00EC36D0">
        <w:t xml:space="preserve"> </w:t>
      </w:r>
      <w:r w:rsidR="00EC36D0" w:rsidRPr="00A90511">
        <w:t>of</w:t>
      </w:r>
      <w:r w:rsidR="00EC36D0" w:rsidRPr="00EC36D0">
        <w:t xml:space="preserve"> </w:t>
      </w:r>
      <w:r w:rsidR="00EC36D0" w:rsidRPr="00A90511">
        <w:t>the</w:t>
      </w:r>
      <w:r w:rsidR="00EC36D0" w:rsidRPr="00EC36D0">
        <w:t xml:space="preserve"> </w:t>
      </w:r>
      <w:r w:rsidR="00EC36D0" w:rsidRPr="00A90511">
        <w:t>Waikato</w:t>
      </w:r>
      <w:r w:rsidR="00EC36D0" w:rsidRPr="00EC36D0">
        <w:t xml:space="preserve"> </w:t>
      </w:r>
      <w:r w:rsidR="00EC36D0" w:rsidRPr="00A90511">
        <w:t>District.</w:t>
      </w:r>
      <w:r w:rsidR="00EC36D0" w:rsidRPr="00EC36D0">
        <w:t xml:space="preserve"> </w:t>
      </w:r>
      <w:r w:rsidR="00EC36D0" w:rsidRPr="00A90511">
        <w:t>The</w:t>
      </w:r>
      <w:r w:rsidR="00EC36D0" w:rsidRPr="00EC36D0">
        <w:t xml:space="preserve"> </w:t>
      </w:r>
      <w:r w:rsidR="00EF52C6">
        <w:t>SIR</w:t>
      </w:r>
      <w:r w:rsidR="00EC36D0" w:rsidRPr="00EC36D0">
        <w:t xml:space="preserve"> </w:t>
      </w:r>
      <w:r w:rsidR="00EC36D0" w:rsidRPr="00A90511">
        <w:t>provide</w:t>
      </w:r>
      <w:r w:rsidR="00987185">
        <w:t>s</w:t>
      </w:r>
      <w:r w:rsidR="00EC36D0" w:rsidRPr="00A90511">
        <w:t xml:space="preserve"> preliminary</w:t>
      </w:r>
      <w:r w:rsidR="00EC36D0" w:rsidRPr="00EC36D0">
        <w:t xml:space="preserve"> </w:t>
      </w:r>
      <w:r w:rsidR="00EC36D0" w:rsidRPr="00A90511">
        <w:t>research</w:t>
      </w:r>
      <w:r w:rsidR="00EC36D0" w:rsidRPr="00EC36D0">
        <w:t xml:space="preserve"> </w:t>
      </w:r>
      <w:r w:rsidR="00EC36D0" w:rsidRPr="00A90511">
        <w:t>to</w:t>
      </w:r>
      <w:r w:rsidR="00EC36D0" w:rsidRPr="00EC36D0">
        <w:t xml:space="preserve"> </w:t>
      </w:r>
      <w:r w:rsidR="00EC36D0" w:rsidRPr="00A90511">
        <w:t>inform</w:t>
      </w:r>
      <w:r w:rsidR="00EC36D0" w:rsidRPr="00EC36D0">
        <w:t xml:space="preserve"> </w:t>
      </w:r>
      <w:r w:rsidR="00EC36D0" w:rsidRPr="00A90511">
        <w:t>the</w:t>
      </w:r>
      <w:r w:rsidR="00EC36D0" w:rsidRPr="00EC36D0">
        <w:t xml:space="preserve"> </w:t>
      </w:r>
      <w:r w:rsidR="00EC36D0" w:rsidRPr="00A90511">
        <w:t>review</w:t>
      </w:r>
      <w:r w:rsidR="00EC36D0" w:rsidRPr="00EC36D0">
        <w:t xml:space="preserve"> </w:t>
      </w:r>
      <w:r w:rsidR="00EC36D0" w:rsidRPr="00A90511">
        <w:t>of</w:t>
      </w:r>
      <w:r w:rsidR="00EC36D0" w:rsidRPr="00EC36D0">
        <w:t xml:space="preserve"> </w:t>
      </w:r>
      <w:r w:rsidR="00F20265">
        <w:t>the Policy</w:t>
      </w:r>
      <w:r w:rsidR="00EF52C6">
        <w:t>.</w:t>
      </w:r>
    </w:p>
    <w:p w14:paraId="49339A4E" w14:textId="25F88AD1" w:rsidR="00C514BF" w:rsidRDefault="00CC097E" w:rsidP="00554649">
      <w:pPr>
        <w:ind w:right="-2"/>
      </w:pPr>
      <w:r>
        <w:t>Key findings from th</w:t>
      </w:r>
      <w:r w:rsidR="001E4E1A">
        <w:t>e SIR</w:t>
      </w:r>
      <w:r>
        <w:t xml:space="preserve"> are below</w:t>
      </w:r>
      <w:r w:rsidR="00C514BF">
        <w:t xml:space="preserve">. </w:t>
      </w:r>
    </w:p>
    <w:p w14:paraId="6F04CAFE" w14:textId="0FF540A1" w:rsidR="00C514BF" w:rsidRPr="00C514BF" w:rsidRDefault="00C514BF" w:rsidP="00136480">
      <w:pPr>
        <w:widowControl w:val="0"/>
        <w:tabs>
          <w:tab w:val="left" w:pos="991"/>
        </w:tabs>
        <w:autoSpaceDE w:val="0"/>
        <w:autoSpaceDN w:val="0"/>
        <w:spacing w:after="0" w:line="296" w:lineRule="exact"/>
        <w:rPr>
          <w:i/>
          <w:iCs/>
        </w:rPr>
      </w:pPr>
      <w:r>
        <w:rPr>
          <w:i/>
          <w:iCs/>
        </w:rPr>
        <w:t>General</w:t>
      </w:r>
      <w:r w:rsidR="00BB0F6D">
        <w:rPr>
          <w:i/>
          <w:iCs/>
        </w:rPr>
        <w:t xml:space="preserve"> findings</w:t>
      </w:r>
    </w:p>
    <w:p w14:paraId="2D16CD57" w14:textId="512FED0B" w:rsidR="00805042" w:rsidRDefault="00E90840" w:rsidP="0045682E">
      <w:pPr>
        <w:pStyle w:val="ListParagraph"/>
        <w:widowControl w:val="0"/>
        <w:numPr>
          <w:ilvl w:val="0"/>
          <w:numId w:val="18"/>
        </w:numPr>
        <w:tabs>
          <w:tab w:val="left" w:pos="991"/>
        </w:tabs>
        <w:autoSpaceDE w:val="0"/>
        <w:autoSpaceDN w:val="0"/>
        <w:spacing w:after="0" w:line="296" w:lineRule="exact"/>
        <w:ind w:left="709" w:hanging="360"/>
        <w:contextualSpacing w:val="0"/>
      </w:pPr>
      <w:r>
        <w:t>There are currently 17 venues hosting 227 Class 4 gaming machines within the Waikato District</w:t>
      </w:r>
      <w:r w:rsidR="00CE2E8A">
        <w:t xml:space="preserve">. This is a </w:t>
      </w:r>
      <w:r w:rsidR="00FD311D">
        <w:t xml:space="preserve">minor </w:t>
      </w:r>
      <w:r w:rsidR="00CE2E8A">
        <w:t>reduction</w:t>
      </w:r>
      <w:r w:rsidR="00721AD1">
        <w:t xml:space="preserve"> in </w:t>
      </w:r>
      <w:r w:rsidR="00FD311D">
        <w:t xml:space="preserve">venues and number of gaming machines, compared to </w:t>
      </w:r>
      <w:r w:rsidR="00CE2E8A">
        <w:t>2021, whe</w:t>
      </w:r>
      <w:r w:rsidR="00FD311D">
        <w:t>n</w:t>
      </w:r>
      <w:r w:rsidR="00CE2E8A">
        <w:t xml:space="preserve"> </w:t>
      </w:r>
      <w:r w:rsidR="00721AD1">
        <w:t xml:space="preserve">the Waikato District had 18 venues hosting 233 machines. </w:t>
      </w:r>
    </w:p>
    <w:p w14:paraId="43D810FA" w14:textId="6F0ECE21" w:rsidR="00FC6C5A" w:rsidRDefault="00FF0B97" w:rsidP="00FC6C5A">
      <w:pPr>
        <w:pStyle w:val="ListParagraph"/>
        <w:widowControl w:val="0"/>
        <w:numPr>
          <w:ilvl w:val="0"/>
          <w:numId w:val="18"/>
        </w:numPr>
        <w:tabs>
          <w:tab w:val="left" w:pos="991"/>
        </w:tabs>
        <w:autoSpaceDE w:val="0"/>
        <w:autoSpaceDN w:val="0"/>
        <w:spacing w:after="0" w:line="296" w:lineRule="exact"/>
        <w:ind w:left="709" w:hanging="360"/>
        <w:contextualSpacing w:val="0"/>
      </w:pPr>
      <w:r>
        <w:t xml:space="preserve">While the number of </w:t>
      </w:r>
      <w:r w:rsidR="00366C24">
        <w:t>gambling machines ha</w:t>
      </w:r>
      <w:r w:rsidR="00EF147F">
        <w:t>s decreased slightly, expenditure has increased.</w:t>
      </w:r>
      <w:r w:rsidR="00366C24">
        <w:t xml:space="preserve"> </w:t>
      </w:r>
      <w:r w:rsidRPr="00DD0715">
        <w:t>In the 2023 calendar year, $10.834m was spent on gaming machines located in the Waikato District</w:t>
      </w:r>
      <w:r>
        <w:t xml:space="preserve"> (</w:t>
      </w:r>
      <w:r w:rsidRPr="00FB40A8">
        <w:rPr>
          <w:rFonts w:cs="Open Sans"/>
          <w:spacing w:val="-10"/>
          <w:szCs w:val="22"/>
        </w:rPr>
        <w:t xml:space="preserve">up from </w:t>
      </w:r>
      <w:r w:rsidRPr="00FB40A8">
        <w:rPr>
          <w:rFonts w:cs="Open Sans"/>
          <w:szCs w:val="22"/>
        </w:rPr>
        <w:t>$</w:t>
      </w:r>
      <w:r>
        <w:rPr>
          <w:rFonts w:cs="Open Sans"/>
          <w:szCs w:val="22"/>
        </w:rPr>
        <w:t>9.8</w:t>
      </w:r>
      <w:r w:rsidRPr="00FB40A8">
        <w:rPr>
          <w:rFonts w:cs="Open Sans"/>
          <w:spacing w:val="-9"/>
          <w:szCs w:val="22"/>
        </w:rPr>
        <w:t xml:space="preserve"> </w:t>
      </w:r>
      <w:r w:rsidRPr="00FB40A8">
        <w:rPr>
          <w:rFonts w:cs="Open Sans"/>
          <w:szCs w:val="22"/>
        </w:rPr>
        <w:t>million in 20</w:t>
      </w:r>
      <w:r>
        <w:rPr>
          <w:rFonts w:cs="Open Sans"/>
          <w:szCs w:val="22"/>
        </w:rPr>
        <w:t>19)</w:t>
      </w:r>
      <w:r w:rsidRPr="00DD0715">
        <w:t xml:space="preserve">. The spend is trending up slightly, consistent with the national trend, and consistent with inflation and population growth (via </w:t>
      </w:r>
      <w:r>
        <w:t>DIA Gambling Dashboard</w:t>
      </w:r>
      <w:r w:rsidRPr="00DD0715">
        <w:t>)</w:t>
      </w:r>
      <w:r>
        <w:t>.</w:t>
      </w:r>
    </w:p>
    <w:p w14:paraId="09BAAA50" w14:textId="2BA1DCAB" w:rsidR="00931B65" w:rsidRDefault="00AC290C" w:rsidP="00FC6C5A">
      <w:pPr>
        <w:pStyle w:val="ListParagraph"/>
        <w:widowControl w:val="0"/>
        <w:numPr>
          <w:ilvl w:val="0"/>
          <w:numId w:val="18"/>
        </w:numPr>
        <w:tabs>
          <w:tab w:val="left" w:pos="991"/>
        </w:tabs>
        <w:autoSpaceDE w:val="0"/>
        <w:autoSpaceDN w:val="0"/>
        <w:spacing w:after="0" w:line="296" w:lineRule="exact"/>
        <w:ind w:left="709" w:hanging="360"/>
        <w:contextualSpacing w:val="0"/>
      </w:pPr>
      <w:r w:rsidRPr="00FB40A8">
        <w:rPr>
          <w:rFonts w:cs="Open Sans"/>
          <w:szCs w:val="22"/>
        </w:rPr>
        <w:t>On a national scale, New Zealanders have spent between 2.3 and 2.6 billion NZD per year</w:t>
      </w:r>
      <w:r w:rsidRPr="00FB40A8">
        <w:rPr>
          <w:rFonts w:cs="Open Sans"/>
          <w:spacing w:val="-6"/>
          <w:szCs w:val="22"/>
        </w:rPr>
        <w:t xml:space="preserve"> </w:t>
      </w:r>
      <w:r w:rsidRPr="00FB40A8">
        <w:rPr>
          <w:rFonts w:cs="Open Sans"/>
          <w:szCs w:val="22"/>
        </w:rPr>
        <w:t>over</w:t>
      </w:r>
      <w:r w:rsidRPr="00FB40A8">
        <w:rPr>
          <w:rFonts w:cs="Open Sans"/>
          <w:spacing w:val="-6"/>
          <w:szCs w:val="22"/>
        </w:rPr>
        <w:t xml:space="preserve"> </w:t>
      </w:r>
      <w:r w:rsidRPr="00FB40A8">
        <w:rPr>
          <w:rFonts w:cs="Open Sans"/>
          <w:szCs w:val="22"/>
        </w:rPr>
        <w:t>the</w:t>
      </w:r>
      <w:r w:rsidRPr="00FB40A8">
        <w:rPr>
          <w:rFonts w:cs="Open Sans"/>
          <w:spacing w:val="-5"/>
          <w:szCs w:val="22"/>
        </w:rPr>
        <w:t xml:space="preserve"> </w:t>
      </w:r>
      <w:r w:rsidRPr="00FB40A8">
        <w:rPr>
          <w:rFonts w:cs="Open Sans"/>
          <w:szCs w:val="22"/>
        </w:rPr>
        <w:t>past</w:t>
      </w:r>
      <w:r w:rsidRPr="00FB40A8">
        <w:rPr>
          <w:rFonts w:cs="Open Sans"/>
          <w:spacing w:val="-5"/>
          <w:szCs w:val="22"/>
        </w:rPr>
        <w:t xml:space="preserve"> </w:t>
      </w:r>
      <w:r w:rsidRPr="00FB40A8">
        <w:rPr>
          <w:rFonts w:cs="Open Sans"/>
          <w:szCs w:val="22"/>
        </w:rPr>
        <w:t>five financial</w:t>
      </w:r>
      <w:r w:rsidRPr="00FB40A8">
        <w:rPr>
          <w:rFonts w:cs="Open Sans"/>
          <w:spacing w:val="-6"/>
          <w:szCs w:val="22"/>
        </w:rPr>
        <w:t xml:space="preserve"> </w:t>
      </w:r>
      <w:r w:rsidRPr="00FB40A8">
        <w:rPr>
          <w:rFonts w:cs="Open Sans"/>
          <w:szCs w:val="22"/>
        </w:rPr>
        <w:t>years</w:t>
      </w:r>
      <w:r w:rsidRPr="00FB40A8">
        <w:rPr>
          <w:rFonts w:cs="Open Sans"/>
          <w:spacing w:val="-6"/>
          <w:szCs w:val="22"/>
        </w:rPr>
        <w:t xml:space="preserve"> </w:t>
      </w:r>
      <w:r w:rsidRPr="00FB40A8">
        <w:rPr>
          <w:rFonts w:cs="Open Sans"/>
          <w:szCs w:val="22"/>
        </w:rPr>
        <w:t>on</w:t>
      </w:r>
      <w:r w:rsidRPr="00FB40A8">
        <w:rPr>
          <w:rFonts w:cs="Open Sans"/>
          <w:spacing w:val="-5"/>
          <w:szCs w:val="22"/>
        </w:rPr>
        <w:t xml:space="preserve"> </w:t>
      </w:r>
      <w:r w:rsidRPr="00FB40A8">
        <w:rPr>
          <w:rFonts w:cs="Open Sans"/>
          <w:szCs w:val="22"/>
        </w:rPr>
        <w:t>the</w:t>
      </w:r>
      <w:r w:rsidRPr="00FB40A8">
        <w:rPr>
          <w:rFonts w:cs="Open Sans"/>
          <w:spacing w:val="-7"/>
          <w:szCs w:val="22"/>
        </w:rPr>
        <w:t xml:space="preserve"> </w:t>
      </w:r>
      <w:r w:rsidRPr="00FB40A8">
        <w:rPr>
          <w:rFonts w:cs="Open Sans"/>
          <w:szCs w:val="22"/>
        </w:rPr>
        <w:t>four</w:t>
      </w:r>
      <w:r w:rsidRPr="00FB40A8">
        <w:rPr>
          <w:rFonts w:cs="Open Sans"/>
          <w:spacing w:val="-6"/>
          <w:szCs w:val="22"/>
        </w:rPr>
        <w:t xml:space="preserve"> </w:t>
      </w:r>
      <w:r w:rsidRPr="00FB40A8">
        <w:rPr>
          <w:rFonts w:cs="Open Sans"/>
          <w:szCs w:val="22"/>
        </w:rPr>
        <w:t>main</w:t>
      </w:r>
      <w:r w:rsidRPr="00FB40A8">
        <w:rPr>
          <w:rFonts w:cs="Open Sans"/>
          <w:spacing w:val="-7"/>
          <w:szCs w:val="22"/>
        </w:rPr>
        <w:t xml:space="preserve"> </w:t>
      </w:r>
      <w:r w:rsidRPr="00FB40A8">
        <w:rPr>
          <w:rFonts w:cs="Open Sans"/>
          <w:szCs w:val="22"/>
        </w:rPr>
        <w:t>types</w:t>
      </w:r>
      <w:r w:rsidRPr="00FB40A8">
        <w:rPr>
          <w:rFonts w:cs="Open Sans"/>
          <w:spacing w:val="-3"/>
          <w:szCs w:val="22"/>
        </w:rPr>
        <w:t xml:space="preserve"> </w:t>
      </w:r>
      <w:r w:rsidRPr="00FB40A8">
        <w:rPr>
          <w:rFonts w:cs="Open Sans"/>
          <w:szCs w:val="22"/>
        </w:rPr>
        <w:t>of</w:t>
      </w:r>
      <w:r w:rsidRPr="00FB40A8">
        <w:rPr>
          <w:rFonts w:cs="Open Sans"/>
          <w:spacing w:val="-7"/>
          <w:szCs w:val="22"/>
        </w:rPr>
        <w:t xml:space="preserve"> </w:t>
      </w:r>
      <w:r w:rsidRPr="00FB40A8">
        <w:rPr>
          <w:rFonts w:cs="Open Sans"/>
          <w:szCs w:val="22"/>
        </w:rPr>
        <w:t>gambling</w:t>
      </w:r>
      <w:r w:rsidRPr="00FB40A8">
        <w:rPr>
          <w:rFonts w:cs="Open Sans"/>
          <w:spacing w:val="-4"/>
          <w:szCs w:val="22"/>
        </w:rPr>
        <w:t xml:space="preserve"> </w:t>
      </w:r>
      <w:r w:rsidRPr="00FB40A8">
        <w:rPr>
          <w:rFonts w:cs="Open Sans"/>
          <w:szCs w:val="22"/>
        </w:rPr>
        <w:t>(Casinos,</w:t>
      </w:r>
      <w:r w:rsidRPr="00FB40A8">
        <w:rPr>
          <w:rFonts w:cs="Open Sans"/>
          <w:spacing w:val="-7"/>
          <w:szCs w:val="22"/>
        </w:rPr>
        <w:t xml:space="preserve"> </w:t>
      </w:r>
      <w:r w:rsidRPr="00FB40A8">
        <w:rPr>
          <w:rFonts w:cs="Open Sans"/>
          <w:szCs w:val="22"/>
        </w:rPr>
        <w:t>NZ</w:t>
      </w:r>
      <w:r w:rsidRPr="00FB40A8">
        <w:rPr>
          <w:rFonts w:cs="Open Sans"/>
          <w:spacing w:val="-4"/>
          <w:szCs w:val="22"/>
        </w:rPr>
        <w:t xml:space="preserve"> </w:t>
      </w:r>
      <w:r w:rsidRPr="00FB40A8">
        <w:rPr>
          <w:rFonts w:cs="Open Sans"/>
          <w:szCs w:val="22"/>
        </w:rPr>
        <w:t>Lotteries,</w:t>
      </w:r>
      <w:r w:rsidRPr="00FB40A8">
        <w:rPr>
          <w:rFonts w:cs="Open Sans"/>
          <w:spacing w:val="-7"/>
          <w:szCs w:val="22"/>
        </w:rPr>
        <w:t xml:space="preserve"> </w:t>
      </w:r>
      <w:r w:rsidRPr="00FB40A8">
        <w:rPr>
          <w:rFonts w:cs="Open Sans"/>
          <w:szCs w:val="22"/>
        </w:rPr>
        <w:t>Class 4</w:t>
      </w:r>
      <w:r w:rsidRPr="00FB40A8">
        <w:rPr>
          <w:rFonts w:cs="Open Sans"/>
          <w:spacing w:val="-10"/>
          <w:szCs w:val="22"/>
        </w:rPr>
        <w:t xml:space="preserve"> </w:t>
      </w:r>
      <w:r w:rsidRPr="00FB40A8">
        <w:rPr>
          <w:rFonts w:cs="Open Sans"/>
          <w:szCs w:val="22"/>
        </w:rPr>
        <w:t>gaming</w:t>
      </w:r>
      <w:r w:rsidRPr="00FB40A8">
        <w:rPr>
          <w:rFonts w:cs="Open Sans"/>
          <w:spacing w:val="-9"/>
          <w:szCs w:val="22"/>
        </w:rPr>
        <w:t xml:space="preserve"> </w:t>
      </w:r>
      <w:r w:rsidRPr="00FB40A8">
        <w:rPr>
          <w:rFonts w:cs="Open Sans"/>
          <w:szCs w:val="22"/>
        </w:rPr>
        <w:t>machines</w:t>
      </w:r>
      <w:r w:rsidRPr="00FB40A8">
        <w:rPr>
          <w:rFonts w:cs="Open Sans"/>
          <w:spacing w:val="-11"/>
          <w:szCs w:val="22"/>
        </w:rPr>
        <w:t xml:space="preserve"> </w:t>
      </w:r>
      <w:r w:rsidRPr="00FB40A8">
        <w:rPr>
          <w:rFonts w:cs="Open Sans"/>
          <w:szCs w:val="22"/>
        </w:rPr>
        <w:t>and</w:t>
      </w:r>
      <w:r w:rsidRPr="00FB40A8">
        <w:rPr>
          <w:rFonts w:cs="Open Sans"/>
          <w:spacing w:val="-12"/>
          <w:szCs w:val="22"/>
        </w:rPr>
        <w:t xml:space="preserve"> </w:t>
      </w:r>
      <w:r w:rsidRPr="00FB40A8">
        <w:rPr>
          <w:rFonts w:cs="Open Sans"/>
          <w:szCs w:val="22"/>
        </w:rPr>
        <w:t>the</w:t>
      </w:r>
      <w:r w:rsidRPr="00FB40A8">
        <w:rPr>
          <w:rFonts w:cs="Open Sans"/>
          <w:spacing w:val="-12"/>
          <w:szCs w:val="22"/>
        </w:rPr>
        <w:t xml:space="preserve"> </w:t>
      </w:r>
      <w:r w:rsidRPr="00FB40A8">
        <w:rPr>
          <w:rFonts w:cs="Open Sans"/>
          <w:szCs w:val="22"/>
        </w:rPr>
        <w:t>TAB).</w:t>
      </w:r>
    </w:p>
    <w:p w14:paraId="56A00AF3" w14:textId="77777777" w:rsidR="0065635C" w:rsidRDefault="0065635C" w:rsidP="0065635C">
      <w:pPr>
        <w:pStyle w:val="ListParagraph"/>
        <w:widowControl w:val="0"/>
        <w:tabs>
          <w:tab w:val="left" w:pos="991"/>
        </w:tabs>
        <w:autoSpaceDE w:val="0"/>
        <w:autoSpaceDN w:val="0"/>
        <w:spacing w:after="0" w:line="296" w:lineRule="exact"/>
        <w:ind w:left="709"/>
        <w:contextualSpacing w:val="0"/>
      </w:pPr>
    </w:p>
    <w:p w14:paraId="099E9B20" w14:textId="3282340B" w:rsidR="0065635C" w:rsidRPr="0065635C" w:rsidRDefault="0065635C" w:rsidP="0065635C">
      <w:pPr>
        <w:widowControl w:val="0"/>
        <w:tabs>
          <w:tab w:val="left" w:pos="991"/>
        </w:tabs>
        <w:autoSpaceDE w:val="0"/>
        <w:autoSpaceDN w:val="0"/>
        <w:spacing w:after="0" w:line="296" w:lineRule="exact"/>
        <w:rPr>
          <w:i/>
          <w:iCs/>
        </w:rPr>
      </w:pPr>
      <w:r w:rsidRPr="0065635C">
        <w:rPr>
          <w:i/>
          <w:iCs/>
        </w:rPr>
        <w:t xml:space="preserve">Social benefits </w:t>
      </w:r>
    </w:p>
    <w:p w14:paraId="3C6FA4DF" w14:textId="4E269023" w:rsidR="00AC0ED3" w:rsidRDefault="00AC0ED3" w:rsidP="0045682E">
      <w:pPr>
        <w:pStyle w:val="ListParagraph"/>
        <w:widowControl w:val="0"/>
        <w:numPr>
          <w:ilvl w:val="0"/>
          <w:numId w:val="18"/>
        </w:numPr>
        <w:tabs>
          <w:tab w:val="left" w:pos="991"/>
        </w:tabs>
        <w:autoSpaceDE w:val="0"/>
        <w:autoSpaceDN w:val="0"/>
        <w:spacing w:after="0" w:line="296" w:lineRule="exact"/>
        <w:ind w:left="709" w:hanging="360"/>
        <w:contextualSpacing w:val="0"/>
      </w:pPr>
      <w:r>
        <w:t xml:space="preserve">Class 4 Gambling provides potential social benefits, including entertainment, social </w:t>
      </w:r>
      <w:proofErr w:type="gramStart"/>
      <w:r>
        <w:t>interaction</w:t>
      </w:r>
      <w:proofErr w:type="gramEnd"/>
      <w:r w:rsidR="00D42D4C">
        <w:t xml:space="preserve"> and</w:t>
      </w:r>
      <w:r>
        <w:t xml:space="preserve"> employment opportunities</w:t>
      </w:r>
      <w:r w:rsidR="00554649">
        <w:t xml:space="preserve">. </w:t>
      </w:r>
    </w:p>
    <w:p w14:paraId="729B102C" w14:textId="31EE3480" w:rsidR="00CC097E" w:rsidRDefault="00CC097E" w:rsidP="00CC097E">
      <w:pPr>
        <w:pStyle w:val="ListParagraph"/>
        <w:widowControl w:val="0"/>
        <w:numPr>
          <w:ilvl w:val="0"/>
          <w:numId w:val="18"/>
        </w:numPr>
        <w:tabs>
          <w:tab w:val="left" w:pos="991"/>
        </w:tabs>
        <w:autoSpaceDE w:val="0"/>
        <w:autoSpaceDN w:val="0"/>
        <w:spacing w:after="0" w:line="296" w:lineRule="exact"/>
        <w:ind w:left="709" w:hanging="360"/>
        <w:contextualSpacing w:val="0"/>
      </w:pPr>
      <w:r>
        <w:t>In 2022, grants totalling $3,426,232 were made in the Waikato District. The grants data does not always align exactly to territorial authority boundaries and the cross-boundary operational nature of many organisations also makes it harder to show a definitive dollar figure.</w:t>
      </w:r>
    </w:p>
    <w:p w14:paraId="41C849C4" w14:textId="7E9CFB40" w:rsidR="00CC097E" w:rsidRDefault="00CC097E" w:rsidP="00CC097E">
      <w:pPr>
        <w:pStyle w:val="ListParagraph"/>
        <w:widowControl w:val="0"/>
        <w:numPr>
          <w:ilvl w:val="0"/>
          <w:numId w:val="18"/>
        </w:numPr>
        <w:tabs>
          <w:tab w:val="left" w:pos="991"/>
        </w:tabs>
        <w:autoSpaceDE w:val="0"/>
        <w:autoSpaceDN w:val="0"/>
        <w:spacing w:after="0" w:line="296" w:lineRule="exact"/>
        <w:ind w:left="709" w:hanging="360"/>
        <w:contextualSpacing w:val="0"/>
      </w:pPr>
      <w:r>
        <w:t xml:space="preserve">The organisations receiving the highest grants in 2022 include Te Awamutu Rugby Sport and Recreation Club, </w:t>
      </w:r>
      <w:proofErr w:type="spellStart"/>
      <w:r>
        <w:t>Ngaaruawahia</w:t>
      </w:r>
      <w:proofErr w:type="spellEnd"/>
      <w:r>
        <w:t xml:space="preserve"> United Football Club, Waikato Regional Property Trust Board, Northern Districts Cricket Association and Waikato Institute for Leisure and Sport. </w:t>
      </w:r>
      <w:r w:rsidR="00B84C1C">
        <w:t xml:space="preserve">Table </w:t>
      </w:r>
      <w:r w:rsidR="006064C6">
        <w:t>2</w:t>
      </w:r>
      <w:r w:rsidR="00331148">
        <w:t xml:space="preserve"> shows amounts granted through EGM profits by category in 2022 in Waikato District. </w:t>
      </w:r>
    </w:p>
    <w:p w14:paraId="113DB125" w14:textId="77777777" w:rsidR="00331148" w:rsidRDefault="00331148" w:rsidP="00331148">
      <w:pPr>
        <w:pStyle w:val="ListParagraph"/>
        <w:widowControl w:val="0"/>
        <w:tabs>
          <w:tab w:val="left" w:pos="991"/>
        </w:tabs>
        <w:autoSpaceDE w:val="0"/>
        <w:autoSpaceDN w:val="0"/>
        <w:spacing w:after="0" w:line="296" w:lineRule="exact"/>
        <w:ind w:left="709"/>
        <w:contextualSpacing w:val="0"/>
      </w:pPr>
    </w:p>
    <w:p w14:paraId="2243A1F0" w14:textId="25882F2C" w:rsidR="001E4E1A" w:rsidRPr="001E4E1A" w:rsidRDefault="001E4E1A" w:rsidP="001E4E1A">
      <w:pPr>
        <w:pStyle w:val="Caption"/>
        <w:keepNext/>
        <w:ind w:firstLine="709"/>
        <w:rPr>
          <w:color w:val="auto"/>
        </w:rPr>
      </w:pPr>
      <w:r w:rsidRPr="001E4E1A">
        <w:rPr>
          <w:color w:val="auto"/>
        </w:rPr>
        <w:t xml:space="preserve">Table </w:t>
      </w:r>
      <w:r w:rsidRPr="001E4E1A">
        <w:rPr>
          <w:color w:val="auto"/>
        </w:rPr>
        <w:fldChar w:fldCharType="begin"/>
      </w:r>
      <w:r w:rsidRPr="001E4E1A">
        <w:rPr>
          <w:color w:val="auto"/>
        </w:rPr>
        <w:instrText xml:space="preserve"> SEQ Table \* ARABIC </w:instrText>
      </w:r>
      <w:r w:rsidRPr="001E4E1A">
        <w:rPr>
          <w:color w:val="auto"/>
        </w:rPr>
        <w:fldChar w:fldCharType="separate"/>
      </w:r>
      <w:r w:rsidR="00A3373A">
        <w:rPr>
          <w:noProof/>
          <w:color w:val="auto"/>
        </w:rPr>
        <w:t>2</w:t>
      </w:r>
      <w:r w:rsidRPr="001E4E1A">
        <w:rPr>
          <w:color w:val="auto"/>
        </w:rPr>
        <w:fldChar w:fldCharType="end"/>
      </w:r>
      <w:r w:rsidRPr="001E4E1A">
        <w:rPr>
          <w:color w:val="auto"/>
        </w:rPr>
        <w:t>: Amounts granted through EGM profits by category in 2022 in the Waikato District</w:t>
      </w:r>
    </w:p>
    <w:tbl>
      <w:tblPr>
        <w:tblStyle w:val="TableGrid"/>
        <w:tblW w:w="8505" w:type="dxa"/>
        <w:tblInd w:w="704" w:type="dxa"/>
        <w:tblLook w:val="04A0" w:firstRow="1" w:lastRow="0" w:firstColumn="1" w:lastColumn="0" w:noHBand="0" w:noVBand="1"/>
      </w:tblPr>
      <w:tblGrid>
        <w:gridCol w:w="5954"/>
        <w:gridCol w:w="2551"/>
      </w:tblGrid>
      <w:tr w:rsidR="00331148" w:rsidRPr="00FB40A8" w14:paraId="1804A109" w14:textId="77777777" w:rsidTr="00D24C3E">
        <w:trPr>
          <w:tblHeader/>
        </w:trPr>
        <w:tc>
          <w:tcPr>
            <w:tcW w:w="5954" w:type="dxa"/>
          </w:tcPr>
          <w:p w14:paraId="17F99EA8" w14:textId="77777777" w:rsidR="00331148" w:rsidRPr="00FB40A8" w:rsidRDefault="00331148" w:rsidP="00331148">
            <w:pPr>
              <w:pStyle w:val="BodyText"/>
              <w:spacing w:after="0"/>
              <w:ind w:left="0"/>
              <w:rPr>
                <w:rFonts w:cs="Open Sans"/>
                <w:b/>
                <w:bCs/>
              </w:rPr>
            </w:pPr>
            <w:r w:rsidRPr="00FB40A8">
              <w:rPr>
                <w:rFonts w:cs="Open Sans"/>
                <w:b/>
                <w:bCs/>
              </w:rPr>
              <w:t>Category</w:t>
            </w:r>
          </w:p>
        </w:tc>
        <w:tc>
          <w:tcPr>
            <w:tcW w:w="2551" w:type="dxa"/>
          </w:tcPr>
          <w:p w14:paraId="5E48557E" w14:textId="77777777" w:rsidR="00331148" w:rsidRPr="00FB40A8" w:rsidRDefault="00331148" w:rsidP="001E4E1A">
            <w:pPr>
              <w:pStyle w:val="BodyText"/>
              <w:spacing w:after="0"/>
              <w:ind w:left="0"/>
              <w:rPr>
                <w:rFonts w:cs="Open Sans"/>
                <w:b/>
                <w:bCs/>
              </w:rPr>
            </w:pPr>
            <w:r w:rsidRPr="00FB40A8">
              <w:rPr>
                <w:rFonts w:cs="Open Sans"/>
                <w:b/>
                <w:bCs/>
              </w:rPr>
              <w:t>Amount (NZD)</w:t>
            </w:r>
          </w:p>
        </w:tc>
      </w:tr>
      <w:tr w:rsidR="00331148" w:rsidRPr="00FB40A8" w14:paraId="1C9C6EA2" w14:textId="77777777" w:rsidTr="28B2D848">
        <w:trPr>
          <w:trHeight w:val="300"/>
        </w:trPr>
        <w:tc>
          <w:tcPr>
            <w:tcW w:w="5954" w:type="dxa"/>
          </w:tcPr>
          <w:p w14:paraId="04A29D15" w14:textId="77777777" w:rsidR="00331148" w:rsidRPr="001E4E1A" w:rsidRDefault="00331148" w:rsidP="001E4E1A">
            <w:pPr>
              <w:pStyle w:val="BodyText"/>
              <w:spacing w:after="0"/>
              <w:ind w:left="0"/>
              <w:rPr>
                <w:rFonts w:cs="Open Sans"/>
              </w:rPr>
            </w:pPr>
            <w:r w:rsidRPr="001E4E1A">
              <w:rPr>
                <w:rFonts w:cs="Open Sans"/>
              </w:rPr>
              <w:t>Sport</w:t>
            </w:r>
          </w:p>
        </w:tc>
        <w:tc>
          <w:tcPr>
            <w:tcW w:w="2551" w:type="dxa"/>
          </w:tcPr>
          <w:p w14:paraId="6D70D4B1" w14:textId="77777777" w:rsidR="00331148" w:rsidRPr="001E4E1A" w:rsidRDefault="00331148" w:rsidP="00927FB0">
            <w:pPr>
              <w:pStyle w:val="BodyText"/>
              <w:spacing w:after="0"/>
              <w:ind w:left="0"/>
              <w:jc w:val="right"/>
              <w:rPr>
                <w:rFonts w:cs="Open Sans"/>
              </w:rPr>
            </w:pPr>
            <w:r w:rsidRPr="001E4E1A">
              <w:rPr>
                <w:rFonts w:cs="Open Sans"/>
              </w:rPr>
              <w:t>1,942,260</w:t>
            </w:r>
          </w:p>
        </w:tc>
      </w:tr>
      <w:tr w:rsidR="00331148" w:rsidRPr="00FB40A8" w14:paraId="09259696" w14:textId="77777777" w:rsidTr="00927FB0">
        <w:tc>
          <w:tcPr>
            <w:tcW w:w="5954" w:type="dxa"/>
          </w:tcPr>
          <w:p w14:paraId="384CF8B8" w14:textId="77777777" w:rsidR="00331148" w:rsidRPr="001E4E1A" w:rsidRDefault="00331148" w:rsidP="001E4E1A">
            <w:pPr>
              <w:pStyle w:val="BodyText"/>
              <w:spacing w:after="0"/>
              <w:ind w:left="0"/>
              <w:rPr>
                <w:rFonts w:cs="Open Sans"/>
              </w:rPr>
            </w:pPr>
            <w:r w:rsidRPr="001E4E1A">
              <w:rPr>
                <w:rFonts w:cs="Open Sans"/>
              </w:rPr>
              <w:t>Community</w:t>
            </w:r>
          </w:p>
        </w:tc>
        <w:tc>
          <w:tcPr>
            <w:tcW w:w="2551" w:type="dxa"/>
          </w:tcPr>
          <w:p w14:paraId="7BEE89B3" w14:textId="77777777" w:rsidR="00331148" w:rsidRPr="001E4E1A" w:rsidRDefault="00331148" w:rsidP="00927FB0">
            <w:pPr>
              <w:pStyle w:val="BodyText"/>
              <w:spacing w:after="0"/>
              <w:ind w:left="0"/>
              <w:jc w:val="right"/>
              <w:rPr>
                <w:rFonts w:cs="Open Sans"/>
              </w:rPr>
            </w:pPr>
            <w:r w:rsidRPr="001E4E1A">
              <w:rPr>
                <w:rFonts w:cs="Open Sans"/>
              </w:rPr>
              <w:t>769,531</w:t>
            </w:r>
          </w:p>
        </w:tc>
      </w:tr>
      <w:tr w:rsidR="00331148" w:rsidRPr="00FB40A8" w14:paraId="452FD22F" w14:textId="77777777" w:rsidTr="00927FB0">
        <w:tc>
          <w:tcPr>
            <w:tcW w:w="5954" w:type="dxa"/>
          </w:tcPr>
          <w:p w14:paraId="020EA408" w14:textId="77777777" w:rsidR="00331148" w:rsidRPr="001E4E1A" w:rsidRDefault="00331148" w:rsidP="001E4E1A">
            <w:pPr>
              <w:pStyle w:val="BodyText"/>
              <w:spacing w:after="0"/>
              <w:ind w:left="0"/>
              <w:rPr>
                <w:rFonts w:cs="Open Sans"/>
              </w:rPr>
            </w:pPr>
            <w:r w:rsidRPr="001E4E1A">
              <w:rPr>
                <w:rFonts w:cs="Open Sans"/>
              </w:rPr>
              <w:t>Research and Education</w:t>
            </w:r>
          </w:p>
        </w:tc>
        <w:tc>
          <w:tcPr>
            <w:tcW w:w="2551" w:type="dxa"/>
          </w:tcPr>
          <w:p w14:paraId="06B7687A" w14:textId="77777777" w:rsidR="00331148" w:rsidRPr="001E4E1A" w:rsidRDefault="00331148" w:rsidP="00927FB0">
            <w:pPr>
              <w:pStyle w:val="BodyText"/>
              <w:spacing w:after="0"/>
              <w:ind w:left="0"/>
              <w:jc w:val="right"/>
              <w:rPr>
                <w:rFonts w:cs="Open Sans"/>
              </w:rPr>
            </w:pPr>
            <w:r w:rsidRPr="001E4E1A">
              <w:rPr>
                <w:rFonts w:cs="Open Sans"/>
              </w:rPr>
              <w:t>306,735</w:t>
            </w:r>
          </w:p>
        </w:tc>
      </w:tr>
      <w:tr w:rsidR="00331148" w:rsidRPr="00FB40A8" w14:paraId="1C1AB0C4" w14:textId="77777777" w:rsidTr="00927FB0">
        <w:tc>
          <w:tcPr>
            <w:tcW w:w="5954" w:type="dxa"/>
          </w:tcPr>
          <w:p w14:paraId="569F38F1" w14:textId="77777777" w:rsidR="00331148" w:rsidRPr="001E4E1A" w:rsidRDefault="00331148" w:rsidP="001E4E1A">
            <w:pPr>
              <w:pStyle w:val="BodyText"/>
              <w:spacing w:after="0"/>
              <w:ind w:left="0"/>
              <w:rPr>
                <w:rFonts w:cs="Open Sans"/>
              </w:rPr>
            </w:pPr>
            <w:r w:rsidRPr="001E4E1A">
              <w:rPr>
                <w:rFonts w:cs="Open Sans"/>
              </w:rPr>
              <w:t>Health/Welfare/Rescue Services</w:t>
            </w:r>
          </w:p>
        </w:tc>
        <w:tc>
          <w:tcPr>
            <w:tcW w:w="2551" w:type="dxa"/>
          </w:tcPr>
          <w:p w14:paraId="35586B57" w14:textId="77777777" w:rsidR="00331148" w:rsidRPr="001E4E1A" w:rsidRDefault="00331148" w:rsidP="00927FB0">
            <w:pPr>
              <w:pStyle w:val="BodyText"/>
              <w:spacing w:after="0"/>
              <w:ind w:left="0"/>
              <w:jc w:val="right"/>
              <w:rPr>
                <w:rFonts w:cs="Open Sans"/>
              </w:rPr>
            </w:pPr>
            <w:r w:rsidRPr="001E4E1A">
              <w:rPr>
                <w:rFonts w:cs="Open Sans"/>
              </w:rPr>
              <w:t>198,206</w:t>
            </w:r>
          </w:p>
        </w:tc>
      </w:tr>
      <w:tr w:rsidR="00331148" w:rsidRPr="00FB40A8" w14:paraId="5C3827F9" w14:textId="77777777" w:rsidTr="00927FB0">
        <w:tc>
          <w:tcPr>
            <w:tcW w:w="5954" w:type="dxa"/>
          </w:tcPr>
          <w:p w14:paraId="46FBFF9B" w14:textId="77777777" w:rsidR="00331148" w:rsidRPr="001E4E1A" w:rsidRDefault="00331148" w:rsidP="001E4E1A">
            <w:pPr>
              <w:pStyle w:val="BodyText"/>
              <w:spacing w:after="0"/>
              <w:ind w:left="0"/>
              <w:rPr>
                <w:rFonts w:cs="Open Sans"/>
              </w:rPr>
            </w:pPr>
            <w:r w:rsidRPr="001E4E1A">
              <w:rPr>
                <w:rFonts w:cs="Open Sans"/>
              </w:rPr>
              <w:t>Arts and Culture</w:t>
            </w:r>
          </w:p>
        </w:tc>
        <w:tc>
          <w:tcPr>
            <w:tcW w:w="2551" w:type="dxa"/>
          </w:tcPr>
          <w:p w14:paraId="4C89C42F" w14:textId="77777777" w:rsidR="00331148" w:rsidRPr="001E4E1A" w:rsidRDefault="00331148" w:rsidP="00927FB0">
            <w:pPr>
              <w:pStyle w:val="BodyText"/>
              <w:spacing w:after="0"/>
              <w:ind w:left="0"/>
              <w:jc w:val="right"/>
              <w:rPr>
                <w:rFonts w:cs="Open Sans"/>
              </w:rPr>
            </w:pPr>
            <w:r w:rsidRPr="001E4E1A">
              <w:rPr>
                <w:rFonts w:cs="Open Sans"/>
              </w:rPr>
              <w:t>193,050</w:t>
            </w:r>
          </w:p>
        </w:tc>
      </w:tr>
      <w:tr w:rsidR="00331148" w:rsidRPr="00FB40A8" w14:paraId="0E858114" w14:textId="77777777" w:rsidTr="00927FB0">
        <w:tc>
          <w:tcPr>
            <w:tcW w:w="5954" w:type="dxa"/>
          </w:tcPr>
          <w:p w14:paraId="716260AF" w14:textId="77777777" w:rsidR="00331148" w:rsidRPr="001E4E1A" w:rsidRDefault="00331148" w:rsidP="001E4E1A">
            <w:pPr>
              <w:pStyle w:val="BodyText"/>
              <w:spacing w:after="0"/>
              <w:ind w:left="0"/>
              <w:rPr>
                <w:rFonts w:cs="Open Sans"/>
              </w:rPr>
            </w:pPr>
            <w:r w:rsidRPr="001E4E1A">
              <w:rPr>
                <w:rFonts w:cs="Open Sans"/>
              </w:rPr>
              <w:t>Unspecified</w:t>
            </w:r>
          </w:p>
        </w:tc>
        <w:tc>
          <w:tcPr>
            <w:tcW w:w="2551" w:type="dxa"/>
          </w:tcPr>
          <w:p w14:paraId="6624029F" w14:textId="77777777" w:rsidR="00331148" w:rsidRPr="001E4E1A" w:rsidRDefault="00331148" w:rsidP="00927FB0">
            <w:pPr>
              <w:pStyle w:val="BodyText"/>
              <w:spacing w:after="0"/>
              <w:ind w:left="0"/>
              <w:jc w:val="right"/>
              <w:rPr>
                <w:rFonts w:cs="Open Sans"/>
              </w:rPr>
            </w:pPr>
            <w:r w:rsidRPr="001E4E1A">
              <w:rPr>
                <w:rFonts w:cs="Open Sans"/>
              </w:rPr>
              <w:t>16,450</w:t>
            </w:r>
          </w:p>
        </w:tc>
      </w:tr>
    </w:tbl>
    <w:p w14:paraId="48CDE7BF" w14:textId="77777777" w:rsidR="00331148" w:rsidRDefault="00331148" w:rsidP="00331148">
      <w:pPr>
        <w:pStyle w:val="ListParagraph"/>
        <w:widowControl w:val="0"/>
        <w:tabs>
          <w:tab w:val="left" w:pos="991"/>
        </w:tabs>
        <w:autoSpaceDE w:val="0"/>
        <w:autoSpaceDN w:val="0"/>
        <w:spacing w:after="0" w:line="296" w:lineRule="exact"/>
        <w:ind w:left="709"/>
        <w:contextualSpacing w:val="0"/>
      </w:pPr>
    </w:p>
    <w:p w14:paraId="5B3CE75F" w14:textId="2B5F3374" w:rsidR="0065635C" w:rsidRPr="0065635C" w:rsidRDefault="0065635C" w:rsidP="0065635C">
      <w:pPr>
        <w:widowControl w:val="0"/>
        <w:tabs>
          <w:tab w:val="left" w:pos="991"/>
        </w:tabs>
        <w:autoSpaceDE w:val="0"/>
        <w:autoSpaceDN w:val="0"/>
        <w:spacing w:after="0" w:line="296" w:lineRule="exact"/>
        <w:rPr>
          <w:i/>
          <w:iCs/>
        </w:rPr>
      </w:pPr>
      <w:r w:rsidRPr="0065635C">
        <w:rPr>
          <w:i/>
          <w:iCs/>
        </w:rPr>
        <w:t>Social costs</w:t>
      </w:r>
    </w:p>
    <w:p w14:paraId="6E2F321B" w14:textId="77777777" w:rsidR="00FD592C" w:rsidRDefault="00554649" w:rsidP="0045682E">
      <w:pPr>
        <w:pStyle w:val="ListParagraph"/>
        <w:widowControl w:val="0"/>
        <w:numPr>
          <w:ilvl w:val="0"/>
          <w:numId w:val="18"/>
        </w:numPr>
        <w:tabs>
          <w:tab w:val="left" w:pos="991"/>
        </w:tabs>
        <w:autoSpaceDE w:val="0"/>
        <w:autoSpaceDN w:val="0"/>
        <w:spacing w:after="0" w:line="296" w:lineRule="exact"/>
        <w:ind w:left="709" w:hanging="360"/>
        <w:contextualSpacing w:val="0"/>
      </w:pPr>
      <w:r>
        <w:t xml:space="preserve">Class 4 </w:t>
      </w:r>
      <w:r w:rsidR="00D12C58">
        <w:t>Gambling can have potential social costs, including problem gambling</w:t>
      </w:r>
      <w:r w:rsidR="00FC6C5A">
        <w:t>.</w:t>
      </w:r>
    </w:p>
    <w:p w14:paraId="7EAF5673" w14:textId="6596700E" w:rsidR="00554649" w:rsidRPr="0065635C" w:rsidRDefault="00292697" w:rsidP="0045682E">
      <w:pPr>
        <w:pStyle w:val="ListParagraph"/>
        <w:widowControl w:val="0"/>
        <w:numPr>
          <w:ilvl w:val="0"/>
          <w:numId w:val="18"/>
        </w:numPr>
        <w:tabs>
          <w:tab w:val="left" w:pos="991"/>
        </w:tabs>
        <w:autoSpaceDE w:val="0"/>
        <w:autoSpaceDN w:val="0"/>
        <w:spacing w:after="0" w:line="296" w:lineRule="exact"/>
        <w:ind w:left="709" w:hanging="360"/>
        <w:contextualSpacing w:val="0"/>
      </w:pPr>
      <w:r>
        <w:t xml:space="preserve">The 2020 Health and Lifestyles Survey found that in total 4.5% of New Zealand </w:t>
      </w:r>
      <w:r>
        <w:lastRenderedPageBreak/>
        <w:t xml:space="preserve">adults (approximately 184,000 people) </w:t>
      </w:r>
      <w:r w:rsidR="008953F3">
        <w:t xml:space="preserve">had </w:t>
      </w:r>
      <w:r w:rsidR="008953F3" w:rsidRPr="00FB40A8">
        <w:rPr>
          <w:rFonts w:cs="Open Sans"/>
          <w:szCs w:val="22"/>
        </w:rPr>
        <w:t>experienced at least some level of individual gambling harm in the last 12 months.</w:t>
      </w:r>
    </w:p>
    <w:p w14:paraId="064F7006" w14:textId="73909A55" w:rsidR="0065635C" w:rsidRDefault="0065635C" w:rsidP="0065635C">
      <w:pPr>
        <w:pStyle w:val="ListParagraph"/>
        <w:widowControl w:val="0"/>
        <w:numPr>
          <w:ilvl w:val="0"/>
          <w:numId w:val="18"/>
        </w:numPr>
        <w:tabs>
          <w:tab w:val="left" w:pos="991"/>
        </w:tabs>
        <w:autoSpaceDE w:val="0"/>
        <w:autoSpaceDN w:val="0"/>
        <w:spacing w:after="0" w:line="296" w:lineRule="exact"/>
        <w:ind w:left="709" w:hanging="360"/>
        <w:contextualSpacing w:val="0"/>
      </w:pPr>
      <w:r>
        <w:t xml:space="preserve">12 out of the 17 venues are located within areas with a deprivation index of 9 (out of a maximum of 10). The remaining five venues </w:t>
      </w:r>
      <w:proofErr w:type="gramStart"/>
      <w:r>
        <w:t>are located in</w:t>
      </w:r>
      <w:proofErr w:type="gramEnd"/>
      <w:r>
        <w:t xml:space="preserve"> areas of medium to high deprivation</w:t>
      </w:r>
      <w:r w:rsidR="000E4E00">
        <w:t xml:space="preserve"> (6-8)</w:t>
      </w:r>
      <w:r>
        <w:t xml:space="preserve">. This shows that the deprivation in the area where the venues are located is very high. </w:t>
      </w:r>
    </w:p>
    <w:p w14:paraId="57B11F34" w14:textId="7FC44EB8" w:rsidR="00212BEF" w:rsidRDefault="00212BEF" w:rsidP="0045682E">
      <w:pPr>
        <w:pStyle w:val="ListParagraph"/>
        <w:widowControl w:val="0"/>
        <w:numPr>
          <w:ilvl w:val="0"/>
          <w:numId w:val="18"/>
        </w:numPr>
        <w:tabs>
          <w:tab w:val="left" w:pos="991"/>
        </w:tabs>
        <w:autoSpaceDE w:val="0"/>
        <w:autoSpaceDN w:val="0"/>
        <w:spacing w:after="0" w:line="296" w:lineRule="exact"/>
        <w:ind w:left="709" w:hanging="360"/>
        <w:contextualSpacing w:val="0"/>
      </w:pPr>
      <w:proofErr w:type="spellStart"/>
      <w:r w:rsidRPr="00FB40A8">
        <w:rPr>
          <w:rFonts w:cs="Open Sans"/>
          <w:szCs w:val="22"/>
        </w:rPr>
        <w:t>Maaori</w:t>
      </w:r>
      <w:proofErr w:type="spellEnd"/>
      <w:r w:rsidRPr="00FB40A8">
        <w:rPr>
          <w:rFonts w:cs="Open Sans"/>
          <w:szCs w:val="22"/>
        </w:rPr>
        <w:t xml:space="preserve">, Pacific peoples, and people on lower incomes continue to </w:t>
      </w:r>
      <w:r w:rsidR="0065635C">
        <w:rPr>
          <w:rFonts w:cs="Open Sans"/>
          <w:szCs w:val="22"/>
        </w:rPr>
        <w:t>d</w:t>
      </w:r>
      <w:r w:rsidRPr="00FB40A8">
        <w:rPr>
          <w:rFonts w:cs="Open Sans"/>
          <w:szCs w:val="22"/>
        </w:rPr>
        <w:t>isproportionately experience gambling harm.</w:t>
      </w:r>
    </w:p>
    <w:p w14:paraId="3A9A4916" w14:textId="3C76A1AB" w:rsidR="0065635C" w:rsidRDefault="00EF147F">
      <w:pPr>
        <w:pStyle w:val="ListParagraph"/>
        <w:widowControl w:val="0"/>
        <w:numPr>
          <w:ilvl w:val="0"/>
          <w:numId w:val="18"/>
        </w:numPr>
        <w:tabs>
          <w:tab w:val="left" w:pos="991"/>
        </w:tabs>
        <w:autoSpaceDE w:val="0"/>
        <w:autoSpaceDN w:val="0"/>
        <w:spacing w:after="0" w:line="296" w:lineRule="exact"/>
        <w:ind w:left="709" w:hanging="360"/>
        <w:contextualSpacing w:val="0"/>
      </w:pPr>
      <w:r>
        <w:t xml:space="preserve">There are a range of </w:t>
      </w:r>
      <w:r w:rsidR="00CC097E">
        <w:t xml:space="preserve">initiatives </w:t>
      </w:r>
      <w:r w:rsidR="004B7371">
        <w:t>in place</w:t>
      </w:r>
      <w:r w:rsidR="00CC097E">
        <w:t xml:space="preserve"> to support and manage gambling harm</w:t>
      </w:r>
      <w:r w:rsidR="00E87709">
        <w:t xml:space="preserve">. </w:t>
      </w:r>
    </w:p>
    <w:p w14:paraId="5B3FD735" w14:textId="77777777" w:rsidR="00A26954" w:rsidRPr="002A5AB5" w:rsidRDefault="00A26954" w:rsidP="00E87709">
      <w:pPr>
        <w:pStyle w:val="ListParagraph"/>
        <w:widowControl w:val="0"/>
        <w:tabs>
          <w:tab w:val="left" w:pos="991"/>
        </w:tabs>
        <w:autoSpaceDE w:val="0"/>
        <w:autoSpaceDN w:val="0"/>
        <w:spacing w:after="0" w:line="296" w:lineRule="exact"/>
        <w:ind w:left="709"/>
        <w:contextualSpacing w:val="0"/>
      </w:pPr>
    </w:p>
    <w:p w14:paraId="57D0BEEA" w14:textId="287DF5B4" w:rsidR="00560C68" w:rsidRPr="00EA64E1" w:rsidRDefault="00560C68" w:rsidP="00AC0ED3">
      <w:pPr>
        <w:pStyle w:val="BodyText"/>
        <w:spacing w:before="1"/>
        <w:ind w:left="0"/>
        <w:rPr>
          <w:b/>
          <w:bCs/>
        </w:rPr>
      </w:pPr>
      <w:r w:rsidRPr="00EA64E1">
        <w:rPr>
          <w:b/>
          <w:bCs/>
        </w:rPr>
        <w:t xml:space="preserve">Key </w:t>
      </w:r>
      <w:r w:rsidR="00A26954" w:rsidRPr="00EA64E1">
        <w:rPr>
          <w:b/>
        </w:rPr>
        <w:t xml:space="preserve">recommendations from </w:t>
      </w:r>
      <w:r w:rsidRPr="00EA64E1">
        <w:rPr>
          <w:b/>
          <w:bCs/>
        </w:rPr>
        <w:t>st</w:t>
      </w:r>
      <w:r w:rsidR="00EA64E1" w:rsidRPr="00EA64E1">
        <w:rPr>
          <w:b/>
          <w:bCs/>
        </w:rPr>
        <w:t>akeholders</w:t>
      </w:r>
    </w:p>
    <w:p w14:paraId="427575D6" w14:textId="101844C4" w:rsidR="006B2347" w:rsidRDefault="006B2347" w:rsidP="006B2347">
      <w:pPr>
        <w:widowControl w:val="0"/>
        <w:tabs>
          <w:tab w:val="left" w:pos="991"/>
        </w:tabs>
        <w:autoSpaceDE w:val="0"/>
        <w:autoSpaceDN w:val="0"/>
        <w:spacing w:after="0" w:line="296" w:lineRule="exact"/>
        <w:rPr>
          <w:rFonts w:cs="Open Sans"/>
        </w:rPr>
      </w:pPr>
      <w:r>
        <w:t xml:space="preserve">To develop the </w:t>
      </w:r>
      <w:r w:rsidR="00AC290C">
        <w:t>SIR</w:t>
      </w:r>
      <w:r>
        <w:t xml:space="preserve">, staff contacted ten external stakeholders for their feedback on the current Policy. Written feedback was received from </w:t>
      </w:r>
      <w:r w:rsidRPr="00FB40A8">
        <w:rPr>
          <w:rFonts w:cs="Open Sans"/>
        </w:rPr>
        <w:t>The</w:t>
      </w:r>
      <w:r w:rsidRPr="00FB40A8">
        <w:rPr>
          <w:rFonts w:cs="Open Sans"/>
          <w:spacing w:val="-1"/>
        </w:rPr>
        <w:t xml:space="preserve"> </w:t>
      </w:r>
      <w:r w:rsidRPr="00FB40A8">
        <w:rPr>
          <w:rFonts w:cs="Open Sans"/>
        </w:rPr>
        <w:t xml:space="preserve">Lions </w:t>
      </w:r>
      <w:r w:rsidRPr="00FB40A8">
        <w:rPr>
          <w:rFonts w:cs="Open Sans"/>
          <w:spacing w:val="-2"/>
        </w:rPr>
        <w:t>Foundation (TLF)</w:t>
      </w:r>
      <w:r>
        <w:rPr>
          <w:rFonts w:cs="Open Sans"/>
          <w:spacing w:val="-2"/>
        </w:rPr>
        <w:t xml:space="preserve">, </w:t>
      </w:r>
      <w:r w:rsidRPr="00FB40A8">
        <w:rPr>
          <w:rFonts w:cs="Open Sans"/>
          <w:spacing w:val="-2"/>
        </w:rPr>
        <w:t>Gaming Machine Association of New Zealand (GMANZ)</w:t>
      </w:r>
      <w:r>
        <w:rPr>
          <w:rFonts w:cs="Open Sans"/>
          <w:spacing w:val="-2"/>
        </w:rPr>
        <w:t xml:space="preserve">, </w:t>
      </w:r>
      <w:proofErr w:type="spellStart"/>
      <w:r w:rsidRPr="00FB40A8">
        <w:rPr>
          <w:rFonts w:cs="Open Sans"/>
          <w:spacing w:val="-2"/>
        </w:rPr>
        <w:t>Manatu</w:t>
      </w:r>
      <w:proofErr w:type="spellEnd"/>
      <w:r w:rsidRPr="00FB40A8">
        <w:rPr>
          <w:rFonts w:cs="Open Sans"/>
          <w:spacing w:val="-2"/>
        </w:rPr>
        <w:t xml:space="preserve"> Ora Ministry of Health</w:t>
      </w:r>
      <w:r w:rsidRPr="00FB40A8">
        <w:rPr>
          <w:rFonts w:cs="Open Sans"/>
        </w:rPr>
        <w:t xml:space="preserve">, </w:t>
      </w:r>
      <w:r w:rsidRPr="00FB40A8">
        <w:rPr>
          <w:rFonts w:cs="Open Sans"/>
          <w:spacing w:val="-5"/>
        </w:rPr>
        <w:t>and</w:t>
      </w:r>
      <w:r>
        <w:rPr>
          <w:rFonts w:cs="Open Sans"/>
          <w:spacing w:val="-5"/>
        </w:rPr>
        <w:t xml:space="preserve"> </w:t>
      </w:r>
      <w:r w:rsidRPr="00FB40A8">
        <w:rPr>
          <w:rFonts w:cs="Open Sans"/>
        </w:rPr>
        <w:t xml:space="preserve">Te </w:t>
      </w:r>
      <w:proofErr w:type="spellStart"/>
      <w:r w:rsidRPr="00FB40A8">
        <w:rPr>
          <w:rFonts w:cs="Open Sans"/>
        </w:rPr>
        <w:t>Whatu</w:t>
      </w:r>
      <w:proofErr w:type="spellEnd"/>
      <w:r w:rsidRPr="00FB40A8">
        <w:rPr>
          <w:rFonts w:cs="Open Sans"/>
        </w:rPr>
        <w:t xml:space="preserve"> Ora / Waikato</w:t>
      </w:r>
      <w:r w:rsidRPr="00FB40A8">
        <w:rPr>
          <w:rFonts w:cs="Open Sans"/>
          <w:spacing w:val="-3"/>
        </w:rPr>
        <w:t xml:space="preserve"> </w:t>
      </w:r>
      <w:r w:rsidRPr="00FB40A8">
        <w:rPr>
          <w:rFonts w:cs="Open Sans"/>
        </w:rPr>
        <w:t>District</w:t>
      </w:r>
      <w:r w:rsidRPr="00FB40A8">
        <w:rPr>
          <w:rFonts w:cs="Open Sans"/>
          <w:spacing w:val="-2"/>
        </w:rPr>
        <w:t xml:space="preserve"> </w:t>
      </w:r>
      <w:r w:rsidRPr="00FB40A8">
        <w:rPr>
          <w:rFonts w:cs="Open Sans"/>
        </w:rPr>
        <w:t>Health</w:t>
      </w:r>
      <w:r w:rsidRPr="00FB40A8">
        <w:rPr>
          <w:rFonts w:cs="Open Sans"/>
          <w:spacing w:val="-3"/>
        </w:rPr>
        <w:t xml:space="preserve"> </w:t>
      </w:r>
      <w:r w:rsidRPr="00FB40A8">
        <w:rPr>
          <w:rFonts w:cs="Open Sans"/>
          <w:spacing w:val="-2"/>
        </w:rPr>
        <w:t>Board.</w:t>
      </w:r>
      <w:r>
        <w:rPr>
          <w:rFonts w:cs="Open Sans"/>
          <w:spacing w:val="-2"/>
        </w:rPr>
        <w:t xml:space="preserve"> Staff also met with and received written feedback from the </w:t>
      </w:r>
      <w:r w:rsidRPr="00FB40A8">
        <w:rPr>
          <w:rFonts w:cs="Open Sans"/>
        </w:rPr>
        <w:t>Problem</w:t>
      </w:r>
      <w:r w:rsidRPr="00FB40A8">
        <w:rPr>
          <w:rFonts w:cs="Open Sans"/>
          <w:spacing w:val="-1"/>
        </w:rPr>
        <w:t xml:space="preserve"> </w:t>
      </w:r>
      <w:r w:rsidRPr="00FB40A8">
        <w:rPr>
          <w:rFonts w:cs="Open Sans"/>
        </w:rPr>
        <w:t>Gambling</w:t>
      </w:r>
      <w:r w:rsidRPr="00FB40A8">
        <w:rPr>
          <w:rFonts w:cs="Open Sans"/>
          <w:spacing w:val="-1"/>
        </w:rPr>
        <w:t xml:space="preserve"> </w:t>
      </w:r>
      <w:r w:rsidRPr="00FB40A8">
        <w:rPr>
          <w:rFonts w:cs="Open Sans"/>
        </w:rPr>
        <w:t>Foundation</w:t>
      </w:r>
      <w:r>
        <w:rPr>
          <w:rFonts w:cs="Open Sans"/>
        </w:rPr>
        <w:t>.</w:t>
      </w:r>
    </w:p>
    <w:p w14:paraId="104EA5B4" w14:textId="77777777" w:rsidR="00AC290C" w:rsidRDefault="00AC290C" w:rsidP="006B2347">
      <w:pPr>
        <w:widowControl w:val="0"/>
        <w:tabs>
          <w:tab w:val="left" w:pos="991"/>
        </w:tabs>
        <w:autoSpaceDE w:val="0"/>
        <w:autoSpaceDN w:val="0"/>
        <w:spacing w:after="0" w:line="296" w:lineRule="exact"/>
        <w:rPr>
          <w:rFonts w:cs="Open Sans"/>
        </w:rPr>
      </w:pPr>
    </w:p>
    <w:p w14:paraId="5F3484FC" w14:textId="192EF85A" w:rsidR="005C7A8A" w:rsidRDefault="00E87709" w:rsidP="003E4F86">
      <w:pPr>
        <w:pStyle w:val="BodyText"/>
        <w:spacing w:before="1"/>
        <w:ind w:left="0"/>
      </w:pPr>
      <w:r>
        <w:t>R</w:t>
      </w:r>
      <w:r w:rsidR="005C7A8A" w:rsidRPr="003E4F86">
        <w:t>ecommendations</w:t>
      </w:r>
      <w:r w:rsidR="005C7A8A">
        <w:t xml:space="preserve"> </w:t>
      </w:r>
      <w:r w:rsidR="00B32B45">
        <w:t>were received from all stakeholders that responded</w:t>
      </w:r>
      <w:r w:rsidR="00D25E2A">
        <w:t xml:space="preserve">. These recommendations are very similar to </w:t>
      </w:r>
      <w:r w:rsidR="009F6B74">
        <w:t>requests made during the processes for both the 2021 and 2018 policy reviews.</w:t>
      </w:r>
    </w:p>
    <w:p w14:paraId="301FF9C8" w14:textId="6050E1F5" w:rsidR="00A26954" w:rsidRPr="003E4F86" w:rsidRDefault="00F25934" w:rsidP="00012664">
      <w:pPr>
        <w:pStyle w:val="BodyText"/>
        <w:numPr>
          <w:ilvl w:val="0"/>
          <w:numId w:val="23"/>
        </w:numPr>
        <w:spacing w:before="1"/>
      </w:pPr>
      <w:r>
        <w:t>R</w:t>
      </w:r>
      <w:r w:rsidR="00A26954" w:rsidRPr="003E4F86">
        <w:t>ecommend</w:t>
      </w:r>
      <w:r>
        <w:t>ed changes</w:t>
      </w:r>
      <w:r w:rsidR="00A26954" w:rsidRPr="003E4F86">
        <w:t xml:space="preserve"> from</w:t>
      </w:r>
      <w:r w:rsidR="00A26954" w:rsidRPr="003E4F86">
        <w:rPr>
          <w:spacing w:val="-3"/>
        </w:rPr>
        <w:t xml:space="preserve"> industry </w:t>
      </w:r>
      <w:r w:rsidR="00A26954" w:rsidRPr="003E4F86">
        <w:t xml:space="preserve">stakeholders </w:t>
      </w:r>
      <w:r w:rsidR="00B472B4">
        <w:t>(Lion Foundation and Gambling Machine Association of NZ)</w:t>
      </w:r>
      <w:r w:rsidR="00A26954" w:rsidRPr="003E4F86">
        <w:t xml:space="preserve"> </w:t>
      </w:r>
      <w:r w:rsidR="00A26954" w:rsidRPr="003E4F86">
        <w:rPr>
          <w:spacing w:val="-2"/>
        </w:rPr>
        <w:t>includes:</w:t>
      </w:r>
    </w:p>
    <w:p w14:paraId="55BE3942" w14:textId="28EB54D5" w:rsidR="00A26954" w:rsidRPr="003E4F86" w:rsidRDefault="00A26954" w:rsidP="00A26954">
      <w:pPr>
        <w:pStyle w:val="ListParagraph"/>
        <w:widowControl w:val="0"/>
        <w:numPr>
          <w:ilvl w:val="0"/>
          <w:numId w:val="13"/>
        </w:numPr>
        <w:tabs>
          <w:tab w:val="left" w:pos="991"/>
        </w:tabs>
        <w:autoSpaceDE w:val="0"/>
        <w:autoSpaceDN w:val="0"/>
        <w:spacing w:after="0"/>
        <w:ind w:right="445"/>
        <w:contextualSpacing w:val="0"/>
        <w:rPr>
          <w:szCs w:val="18"/>
        </w:rPr>
      </w:pPr>
      <w:r w:rsidRPr="003E4F86">
        <w:rPr>
          <w:szCs w:val="18"/>
        </w:rPr>
        <w:t>A “capped policy” rather than sinking lid, which does not encourage growth but allows for funding mechanisms to continue.</w:t>
      </w:r>
      <w:r w:rsidR="00EA1A4D">
        <w:rPr>
          <w:szCs w:val="18"/>
        </w:rPr>
        <w:t xml:space="preserve"> This would keep the maximum number of machines where it is currently, rather than reducing it when</w:t>
      </w:r>
      <w:r w:rsidR="008909D3">
        <w:rPr>
          <w:szCs w:val="18"/>
        </w:rPr>
        <w:t xml:space="preserve"> a license is surrendered. </w:t>
      </w:r>
    </w:p>
    <w:p w14:paraId="7DA77D61" w14:textId="7AAD4A48" w:rsidR="00A26954" w:rsidRPr="003E4F86" w:rsidRDefault="00A26954" w:rsidP="00A26954">
      <w:pPr>
        <w:pStyle w:val="ListParagraph"/>
        <w:widowControl w:val="0"/>
        <w:numPr>
          <w:ilvl w:val="0"/>
          <w:numId w:val="13"/>
        </w:numPr>
        <w:tabs>
          <w:tab w:val="left" w:pos="991"/>
        </w:tabs>
        <w:autoSpaceDE w:val="0"/>
        <w:autoSpaceDN w:val="0"/>
        <w:spacing w:after="0"/>
        <w:ind w:right="445"/>
        <w:contextualSpacing w:val="0"/>
        <w:rPr>
          <w:szCs w:val="18"/>
        </w:rPr>
      </w:pPr>
      <w:r w:rsidRPr="003E4F86">
        <w:rPr>
          <w:szCs w:val="18"/>
        </w:rPr>
        <w:t xml:space="preserve">That </w:t>
      </w:r>
      <w:r w:rsidR="0076425C">
        <w:rPr>
          <w:szCs w:val="18"/>
        </w:rPr>
        <w:t>Council</w:t>
      </w:r>
      <w:r w:rsidRPr="003E4F86">
        <w:rPr>
          <w:szCs w:val="18"/>
        </w:rPr>
        <w:t xml:space="preserve"> retain the existing relocation clauses.</w:t>
      </w:r>
    </w:p>
    <w:p w14:paraId="1D81DB5D" w14:textId="77777777" w:rsidR="00A26954" w:rsidRPr="003E4F86" w:rsidRDefault="00A26954" w:rsidP="003A2183">
      <w:pPr>
        <w:pStyle w:val="BodyText"/>
        <w:spacing w:before="1" w:after="0"/>
        <w:rPr>
          <w:sz w:val="20"/>
          <w:szCs w:val="18"/>
        </w:rPr>
      </w:pPr>
    </w:p>
    <w:p w14:paraId="19C952A2" w14:textId="29BC2A5E" w:rsidR="00A26954" w:rsidRPr="003E4F86" w:rsidRDefault="00F25934" w:rsidP="00012664">
      <w:pPr>
        <w:pStyle w:val="BodyText"/>
        <w:numPr>
          <w:ilvl w:val="0"/>
          <w:numId w:val="23"/>
        </w:numPr>
        <w:spacing w:before="1" w:after="120"/>
      </w:pPr>
      <w:r>
        <w:t>Recommended changes</w:t>
      </w:r>
      <w:r w:rsidR="00A26954" w:rsidRPr="003E4F86">
        <w:t xml:space="preserve"> from</w:t>
      </w:r>
      <w:r w:rsidR="00A26954" w:rsidRPr="003E4F86">
        <w:rPr>
          <w:spacing w:val="-3"/>
        </w:rPr>
        <w:t xml:space="preserve"> community health and intervention </w:t>
      </w:r>
      <w:r w:rsidR="00A26954" w:rsidRPr="003E4F86">
        <w:t xml:space="preserve">stakeholders </w:t>
      </w:r>
      <w:r w:rsidR="00B472B4">
        <w:t xml:space="preserve">(Problem Gambling Foundation, </w:t>
      </w:r>
      <w:r w:rsidR="003D181B">
        <w:t xml:space="preserve">Heath New Zealand Te </w:t>
      </w:r>
      <w:proofErr w:type="spellStart"/>
      <w:r w:rsidR="003D181B">
        <w:t>Whatu</w:t>
      </w:r>
      <w:proofErr w:type="spellEnd"/>
      <w:r w:rsidR="003D181B">
        <w:t xml:space="preserve"> Ora, </w:t>
      </w:r>
      <w:proofErr w:type="spellStart"/>
      <w:r w:rsidR="003D181B">
        <w:t>Manatu</w:t>
      </w:r>
      <w:proofErr w:type="spellEnd"/>
      <w:r w:rsidR="003D181B">
        <w:t xml:space="preserve"> Ora Ministry of Health)</w:t>
      </w:r>
      <w:r w:rsidR="00A26954" w:rsidRPr="003E4F86">
        <w:t xml:space="preserve"> </w:t>
      </w:r>
      <w:r w:rsidR="00A26954" w:rsidRPr="003E4F86">
        <w:rPr>
          <w:spacing w:val="-2"/>
        </w:rPr>
        <w:t>includes:</w:t>
      </w:r>
    </w:p>
    <w:p w14:paraId="04B82B40" w14:textId="24F57356" w:rsidR="00A26954" w:rsidRPr="003E4F86" w:rsidRDefault="00A26954" w:rsidP="00A26954">
      <w:pPr>
        <w:pStyle w:val="ListParagraph"/>
        <w:widowControl w:val="0"/>
        <w:numPr>
          <w:ilvl w:val="1"/>
          <w:numId w:val="15"/>
        </w:numPr>
        <w:tabs>
          <w:tab w:val="left" w:pos="991"/>
        </w:tabs>
        <w:autoSpaceDE w:val="0"/>
        <w:autoSpaceDN w:val="0"/>
        <w:spacing w:before="1" w:after="0" w:line="278" w:lineRule="exact"/>
        <w:contextualSpacing w:val="0"/>
        <w:rPr>
          <w:szCs w:val="18"/>
        </w:rPr>
      </w:pPr>
      <w:r w:rsidRPr="003E4F86">
        <w:rPr>
          <w:szCs w:val="18"/>
        </w:rPr>
        <w:t>Support</w:t>
      </w:r>
      <w:r w:rsidRPr="003E4F86">
        <w:rPr>
          <w:spacing w:val="7"/>
          <w:szCs w:val="18"/>
        </w:rPr>
        <w:t xml:space="preserve"> </w:t>
      </w:r>
      <w:r w:rsidRPr="003E4F86">
        <w:rPr>
          <w:szCs w:val="18"/>
        </w:rPr>
        <w:t>a sinking-lid</w:t>
      </w:r>
      <w:r w:rsidRPr="003E4F86">
        <w:rPr>
          <w:spacing w:val="11"/>
          <w:szCs w:val="18"/>
        </w:rPr>
        <w:t xml:space="preserve"> </w:t>
      </w:r>
      <w:r w:rsidRPr="003E4F86">
        <w:rPr>
          <w:szCs w:val="18"/>
        </w:rPr>
        <w:t>policy</w:t>
      </w:r>
      <w:r w:rsidRPr="003E4F86">
        <w:rPr>
          <w:spacing w:val="12"/>
          <w:szCs w:val="18"/>
        </w:rPr>
        <w:t xml:space="preserve"> </w:t>
      </w:r>
      <w:r w:rsidRPr="003E4F86">
        <w:rPr>
          <w:szCs w:val="18"/>
        </w:rPr>
        <w:t>but</w:t>
      </w:r>
      <w:r w:rsidRPr="003E4F86">
        <w:rPr>
          <w:spacing w:val="11"/>
          <w:szCs w:val="18"/>
        </w:rPr>
        <w:t xml:space="preserve"> </w:t>
      </w:r>
      <w:r w:rsidRPr="003E4F86">
        <w:rPr>
          <w:szCs w:val="18"/>
        </w:rPr>
        <w:t>advocate</w:t>
      </w:r>
      <w:r w:rsidRPr="003E4F86">
        <w:rPr>
          <w:spacing w:val="11"/>
          <w:szCs w:val="18"/>
        </w:rPr>
        <w:t xml:space="preserve"> </w:t>
      </w:r>
      <w:r w:rsidRPr="003E4F86">
        <w:rPr>
          <w:szCs w:val="18"/>
        </w:rPr>
        <w:t>for</w:t>
      </w:r>
      <w:r w:rsidRPr="003E4F86">
        <w:rPr>
          <w:spacing w:val="11"/>
          <w:szCs w:val="18"/>
        </w:rPr>
        <w:t xml:space="preserve"> </w:t>
      </w:r>
      <w:r w:rsidRPr="003E4F86">
        <w:rPr>
          <w:szCs w:val="18"/>
        </w:rPr>
        <w:t>a</w:t>
      </w:r>
      <w:r w:rsidRPr="003E4F86">
        <w:rPr>
          <w:spacing w:val="12"/>
          <w:szCs w:val="18"/>
        </w:rPr>
        <w:t xml:space="preserve"> </w:t>
      </w:r>
      <w:r w:rsidRPr="003E4F86">
        <w:rPr>
          <w:szCs w:val="18"/>
        </w:rPr>
        <w:t>‘gold-standard’</w:t>
      </w:r>
      <w:r w:rsidRPr="003E4F86">
        <w:rPr>
          <w:spacing w:val="10"/>
          <w:szCs w:val="18"/>
        </w:rPr>
        <w:t xml:space="preserve"> </w:t>
      </w:r>
      <w:r w:rsidRPr="003E4F86">
        <w:rPr>
          <w:szCs w:val="18"/>
        </w:rPr>
        <w:t>sinking</w:t>
      </w:r>
      <w:r w:rsidRPr="003E4F86">
        <w:rPr>
          <w:spacing w:val="12"/>
          <w:szCs w:val="18"/>
        </w:rPr>
        <w:t xml:space="preserve"> </w:t>
      </w:r>
      <w:r w:rsidRPr="003E4F86">
        <w:rPr>
          <w:szCs w:val="18"/>
        </w:rPr>
        <w:t>lid</w:t>
      </w:r>
      <w:r w:rsidRPr="003E4F86">
        <w:rPr>
          <w:spacing w:val="9"/>
          <w:szCs w:val="18"/>
        </w:rPr>
        <w:t xml:space="preserve"> </w:t>
      </w:r>
      <w:r w:rsidRPr="003E4F86">
        <w:rPr>
          <w:szCs w:val="18"/>
        </w:rPr>
        <w:t>policy,</w:t>
      </w:r>
      <w:r w:rsidRPr="003E4F86">
        <w:rPr>
          <w:spacing w:val="11"/>
          <w:szCs w:val="18"/>
        </w:rPr>
        <w:t xml:space="preserve"> </w:t>
      </w:r>
      <w:r w:rsidRPr="003E4F86">
        <w:rPr>
          <w:spacing w:val="-2"/>
          <w:szCs w:val="18"/>
        </w:rPr>
        <w:t>which</w:t>
      </w:r>
      <w:r w:rsidR="00DE7E82" w:rsidRPr="003E4F86">
        <w:rPr>
          <w:spacing w:val="-2"/>
          <w:szCs w:val="18"/>
        </w:rPr>
        <w:t xml:space="preserve"> </w:t>
      </w:r>
      <w:r w:rsidR="00DE7E82" w:rsidRPr="003E4F86">
        <w:rPr>
          <w:szCs w:val="18"/>
        </w:rPr>
        <w:t>i</w:t>
      </w:r>
      <w:r w:rsidRPr="003E4F86">
        <w:rPr>
          <w:szCs w:val="18"/>
        </w:rPr>
        <w:t>ncludes the following three provisions:</w:t>
      </w:r>
    </w:p>
    <w:p w14:paraId="285FE681" w14:textId="29022D78" w:rsidR="00A26954" w:rsidRPr="003E4F86" w:rsidRDefault="00A26954" w:rsidP="0049638C">
      <w:pPr>
        <w:pStyle w:val="Default"/>
        <w:numPr>
          <w:ilvl w:val="0"/>
          <w:numId w:val="24"/>
        </w:numPr>
        <w:spacing w:after="58"/>
        <w:rPr>
          <w:rFonts w:ascii="Open Sans" w:eastAsia="Times New Roman" w:hAnsi="Open Sans" w:cs="Times New Roman"/>
          <w:color w:val="auto"/>
          <w:sz w:val="22"/>
          <w:szCs w:val="18"/>
          <w:lang w:eastAsia="en-US"/>
        </w:rPr>
      </w:pPr>
      <w:r w:rsidRPr="003E4F86">
        <w:rPr>
          <w:rFonts w:ascii="Open Sans" w:eastAsia="Times New Roman" w:hAnsi="Open Sans" w:cs="Times New Roman"/>
          <w:color w:val="auto"/>
          <w:sz w:val="22"/>
          <w:szCs w:val="18"/>
          <w:lang w:eastAsia="en-US"/>
        </w:rPr>
        <w:t>A ban on any new venues –</w:t>
      </w:r>
      <w:r w:rsidR="00ED5309">
        <w:rPr>
          <w:rFonts w:ascii="Open Sans" w:eastAsia="Times New Roman" w:hAnsi="Open Sans" w:cs="Times New Roman"/>
          <w:color w:val="auto"/>
          <w:sz w:val="22"/>
          <w:szCs w:val="18"/>
          <w:lang w:eastAsia="en-US"/>
        </w:rPr>
        <w:t xml:space="preserve"> </w:t>
      </w:r>
      <w:r w:rsidRPr="003E4F86">
        <w:rPr>
          <w:rFonts w:ascii="Open Sans" w:eastAsia="Times New Roman" w:hAnsi="Open Sans" w:cs="Times New Roman"/>
          <w:color w:val="auto"/>
          <w:sz w:val="22"/>
          <w:szCs w:val="18"/>
          <w:lang w:eastAsia="en-US"/>
        </w:rPr>
        <w:t>no permit to be given to operate any new Class 4 gambling venues in Council area if that venue proposes having pokies, including TAB venues;</w:t>
      </w:r>
      <w:r w:rsidR="00C40AF3">
        <w:rPr>
          <w:rFonts w:ascii="Open Sans" w:eastAsia="Times New Roman" w:hAnsi="Open Sans" w:cs="Times New Roman"/>
          <w:color w:val="auto"/>
          <w:sz w:val="22"/>
          <w:szCs w:val="18"/>
          <w:lang w:eastAsia="en-US"/>
        </w:rPr>
        <w:t xml:space="preserve"> and</w:t>
      </w:r>
    </w:p>
    <w:p w14:paraId="021ABBCF" w14:textId="53970FDC" w:rsidR="00A26954" w:rsidRPr="003E4F86" w:rsidRDefault="00A26954" w:rsidP="0049638C">
      <w:pPr>
        <w:pStyle w:val="Default"/>
        <w:numPr>
          <w:ilvl w:val="0"/>
          <w:numId w:val="24"/>
        </w:numPr>
        <w:spacing w:after="58"/>
        <w:rPr>
          <w:rFonts w:ascii="Open Sans" w:eastAsia="Times New Roman" w:hAnsi="Open Sans" w:cs="Times New Roman"/>
          <w:color w:val="auto"/>
          <w:sz w:val="22"/>
          <w:szCs w:val="18"/>
          <w:lang w:eastAsia="en-US"/>
        </w:rPr>
      </w:pPr>
      <w:r w:rsidRPr="003E4F86">
        <w:rPr>
          <w:rFonts w:ascii="Open Sans" w:eastAsia="Times New Roman" w:hAnsi="Open Sans" w:cs="Times New Roman"/>
          <w:color w:val="auto"/>
          <w:sz w:val="22"/>
          <w:szCs w:val="18"/>
          <w:lang w:eastAsia="en-US"/>
        </w:rPr>
        <w:t>No relocations –</w:t>
      </w:r>
      <w:r w:rsidR="00ED5309">
        <w:rPr>
          <w:rFonts w:ascii="Open Sans" w:eastAsia="Times New Roman" w:hAnsi="Open Sans" w:cs="Times New Roman"/>
          <w:color w:val="auto"/>
          <w:sz w:val="22"/>
          <w:szCs w:val="18"/>
          <w:lang w:eastAsia="en-US"/>
        </w:rPr>
        <w:t xml:space="preserve"> </w:t>
      </w:r>
      <w:r w:rsidRPr="003E4F86">
        <w:rPr>
          <w:rFonts w:ascii="Open Sans" w:eastAsia="Times New Roman" w:hAnsi="Open Sans" w:cs="Times New Roman"/>
          <w:color w:val="auto"/>
          <w:sz w:val="22"/>
          <w:szCs w:val="18"/>
          <w:lang w:eastAsia="en-US"/>
        </w:rPr>
        <w:t>if a venue with E</w:t>
      </w:r>
      <w:r w:rsidR="00931BC6">
        <w:rPr>
          <w:rFonts w:ascii="Open Sans" w:eastAsia="Times New Roman" w:hAnsi="Open Sans" w:cs="Times New Roman"/>
          <w:color w:val="auto"/>
          <w:sz w:val="22"/>
          <w:szCs w:val="18"/>
          <w:lang w:eastAsia="en-US"/>
        </w:rPr>
        <w:t xml:space="preserve">lectronic </w:t>
      </w:r>
      <w:r w:rsidRPr="003E4F86">
        <w:rPr>
          <w:rFonts w:ascii="Open Sans" w:eastAsia="Times New Roman" w:hAnsi="Open Sans" w:cs="Times New Roman"/>
          <w:color w:val="auto"/>
          <w:sz w:val="22"/>
          <w:szCs w:val="18"/>
          <w:lang w:eastAsia="en-US"/>
        </w:rPr>
        <w:t>G</w:t>
      </w:r>
      <w:r w:rsidR="00931BC6">
        <w:rPr>
          <w:rFonts w:ascii="Open Sans" w:eastAsia="Times New Roman" w:hAnsi="Open Sans" w:cs="Times New Roman"/>
          <w:color w:val="auto"/>
          <w:sz w:val="22"/>
          <w:szCs w:val="18"/>
          <w:lang w:eastAsia="en-US"/>
        </w:rPr>
        <w:t xml:space="preserve">aming </w:t>
      </w:r>
      <w:r w:rsidRPr="003E4F86">
        <w:rPr>
          <w:rFonts w:ascii="Open Sans" w:eastAsia="Times New Roman" w:hAnsi="Open Sans" w:cs="Times New Roman"/>
          <w:color w:val="auto"/>
          <w:sz w:val="22"/>
          <w:szCs w:val="18"/>
          <w:lang w:eastAsia="en-US"/>
        </w:rPr>
        <w:t>M</w:t>
      </w:r>
      <w:r w:rsidR="00931BC6">
        <w:rPr>
          <w:rFonts w:ascii="Open Sans" w:eastAsia="Times New Roman" w:hAnsi="Open Sans" w:cs="Times New Roman"/>
          <w:color w:val="auto"/>
          <w:sz w:val="22"/>
          <w:szCs w:val="18"/>
          <w:lang w:eastAsia="en-US"/>
        </w:rPr>
        <w:t>achine</w:t>
      </w:r>
      <w:r w:rsidRPr="003E4F86">
        <w:rPr>
          <w:rFonts w:ascii="Open Sans" w:eastAsia="Times New Roman" w:hAnsi="Open Sans" w:cs="Times New Roman"/>
          <w:color w:val="auto"/>
          <w:sz w:val="22"/>
          <w:szCs w:val="18"/>
          <w:lang w:eastAsia="en-US"/>
        </w:rPr>
        <w:t>s</w:t>
      </w:r>
      <w:r w:rsidR="00931BC6">
        <w:rPr>
          <w:rFonts w:ascii="Open Sans" w:eastAsia="Times New Roman" w:hAnsi="Open Sans" w:cs="Times New Roman"/>
          <w:color w:val="auto"/>
          <w:sz w:val="22"/>
          <w:szCs w:val="18"/>
          <w:lang w:eastAsia="en-US"/>
        </w:rPr>
        <w:t xml:space="preserve"> (</w:t>
      </w:r>
      <w:r w:rsidRPr="003E4F86">
        <w:rPr>
          <w:rFonts w:ascii="Open Sans" w:eastAsia="Times New Roman" w:hAnsi="Open Sans" w:cs="Times New Roman"/>
          <w:color w:val="auto"/>
          <w:sz w:val="22"/>
          <w:szCs w:val="18"/>
          <w:lang w:eastAsia="en-US"/>
        </w:rPr>
        <w:t>EGMs</w:t>
      </w:r>
      <w:r w:rsidR="00931BC6">
        <w:rPr>
          <w:rFonts w:ascii="Open Sans" w:eastAsia="Times New Roman" w:hAnsi="Open Sans" w:cs="Times New Roman"/>
          <w:color w:val="auto"/>
          <w:sz w:val="22"/>
          <w:szCs w:val="18"/>
          <w:lang w:eastAsia="en-US"/>
        </w:rPr>
        <w:t>)</w:t>
      </w:r>
      <w:r w:rsidRPr="003E4F86">
        <w:rPr>
          <w:rFonts w:ascii="Open Sans" w:eastAsia="Times New Roman" w:hAnsi="Open Sans" w:cs="Times New Roman"/>
          <w:color w:val="auto"/>
          <w:sz w:val="22"/>
          <w:szCs w:val="18"/>
          <w:lang w:eastAsia="en-US"/>
        </w:rPr>
        <w:t xml:space="preserve"> closes for any reason, Councill will not permit the pokies to be relocated to any venue within the Council area, and</w:t>
      </w:r>
    </w:p>
    <w:p w14:paraId="56A3989D" w14:textId="5F2769C9" w:rsidR="00A26954" w:rsidRPr="003E4F86" w:rsidRDefault="00A26954" w:rsidP="0049638C">
      <w:pPr>
        <w:pStyle w:val="Default"/>
        <w:numPr>
          <w:ilvl w:val="0"/>
          <w:numId w:val="24"/>
        </w:numPr>
        <w:spacing w:line="278" w:lineRule="exact"/>
        <w:rPr>
          <w:rFonts w:ascii="Open Sans" w:eastAsia="Times New Roman" w:hAnsi="Open Sans" w:cs="Times New Roman"/>
          <w:color w:val="auto"/>
          <w:sz w:val="22"/>
          <w:szCs w:val="18"/>
          <w:lang w:eastAsia="en-US"/>
        </w:rPr>
      </w:pPr>
      <w:r w:rsidRPr="003E4F86">
        <w:rPr>
          <w:rFonts w:ascii="Open Sans" w:eastAsia="Times New Roman" w:hAnsi="Open Sans" w:cs="Times New Roman"/>
          <w:color w:val="auto"/>
          <w:sz w:val="22"/>
          <w:szCs w:val="18"/>
          <w:lang w:eastAsia="en-US"/>
        </w:rPr>
        <w:t>No mergers –</w:t>
      </w:r>
      <w:r w:rsidR="00ED5309">
        <w:rPr>
          <w:rFonts w:ascii="Open Sans" w:eastAsia="Times New Roman" w:hAnsi="Open Sans" w:cs="Times New Roman"/>
          <w:color w:val="auto"/>
          <w:sz w:val="22"/>
          <w:szCs w:val="18"/>
          <w:lang w:eastAsia="en-US"/>
        </w:rPr>
        <w:t xml:space="preserve"> </w:t>
      </w:r>
      <w:r w:rsidRPr="003E4F86">
        <w:rPr>
          <w:rFonts w:ascii="Open Sans" w:eastAsia="Times New Roman" w:hAnsi="Open Sans" w:cs="Times New Roman"/>
          <w:color w:val="auto"/>
          <w:sz w:val="22"/>
          <w:szCs w:val="18"/>
          <w:lang w:eastAsia="en-US"/>
        </w:rPr>
        <w:t>Council will not permit any merging of Class 4 pokies to one venue under any circumstances.</w:t>
      </w:r>
    </w:p>
    <w:p w14:paraId="5D22A384" w14:textId="3349B01A" w:rsidR="00A26954" w:rsidRPr="003E4F86" w:rsidRDefault="00A26954" w:rsidP="00A26954">
      <w:pPr>
        <w:pStyle w:val="ListParagraph"/>
        <w:widowControl w:val="0"/>
        <w:numPr>
          <w:ilvl w:val="1"/>
          <w:numId w:val="15"/>
        </w:numPr>
        <w:tabs>
          <w:tab w:val="left" w:pos="991"/>
        </w:tabs>
        <w:autoSpaceDE w:val="0"/>
        <w:autoSpaceDN w:val="0"/>
        <w:spacing w:before="1" w:after="0" w:line="295" w:lineRule="exact"/>
        <w:contextualSpacing w:val="0"/>
        <w:rPr>
          <w:szCs w:val="18"/>
        </w:rPr>
      </w:pPr>
      <w:r w:rsidRPr="003E4F86">
        <w:rPr>
          <w:szCs w:val="18"/>
        </w:rPr>
        <w:t>That policies that allow club mergers and relocations are not congruent with a sinking lid policy.</w:t>
      </w:r>
      <w:r w:rsidR="00D569AF">
        <w:rPr>
          <w:szCs w:val="18"/>
        </w:rPr>
        <w:t xml:space="preserve"> T</w:t>
      </w:r>
      <w:r w:rsidR="00DA60D7">
        <w:rPr>
          <w:szCs w:val="18"/>
        </w:rPr>
        <w:t xml:space="preserve">hey would like to see </w:t>
      </w:r>
      <w:r w:rsidR="00D07544">
        <w:rPr>
          <w:szCs w:val="18"/>
        </w:rPr>
        <w:t>Council</w:t>
      </w:r>
      <w:r w:rsidR="00DA60D7">
        <w:rPr>
          <w:szCs w:val="18"/>
        </w:rPr>
        <w:t xml:space="preserve"> remove these merger and relocation clauses from our policy.</w:t>
      </w:r>
    </w:p>
    <w:p w14:paraId="1E7D2986" w14:textId="7A5CF5DC" w:rsidR="00A26954" w:rsidRDefault="00B80D81" w:rsidP="00B80D81">
      <w:pPr>
        <w:pStyle w:val="Heading1"/>
        <w:pBdr>
          <w:bottom w:val="single" w:sz="4" w:space="1" w:color="auto"/>
        </w:pBdr>
        <w:spacing w:line="240" w:lineRule="auto"/>
        <w:rPr>
          <w:rFonts w:cs="Open Sans"/>
          <w:bCs/>
          <w:iCs/>
          <w:color w:val="0085AD"/>
          <w:szCs w:val="28"/>
        </w:rPr>
      </w:pPr>
      <w:r w:rsidRPr="00B80D81">
        <w:rPr>
          <w:rFonts w:cs="Open Sans"/>
          <w:bCs/>
          <w:iCs/>
          <w:color w:val="0085AD"/>
          <w:szCs w:val="28"/>
        </w:rPr>
        <w:lastRenderedPageBreak/>
        <w:t>Options</w:t>
      </w:r>
    </w:p>
    <w:p w14:paraId="5ABC7A02" w14:textId="0E46CD83" w:rsidR="00B80D81" w:rsidRPr="003E4F86" w:rsidRDefault="00B80D81" w:rsidP="00B80D81">
      <w:pPr>
        <w:pStyle w:val="BodyText"/>
        <w:ind w:left="0"/>
      </w:pPr>
      <w:r w:rsidRPr="003E4F86">
        <w:t>Staff have identified three viable options for elected members to consider.</w:t>
      </w:r>
    </w:p>
    <w:p w14:paraId="0F2E4E1A" w14:textId="0816F5C5" w:rsidR="00DE7E82" w:rsidRPr="003E4F86" w:rsidRDefault="00B80D81" w:rsidP="00B80D81">
      <w:pPr>
        <w:pStyle w:val="BodyText"/>
        <w:ind w:left="0"/>
      </w:pPr>
      <w:r w:rsidRPr="003E4F86">
        <w:rPr>
          <w:b/>
          <w:bCs/>
        </w:rPr>
        <w:t xml:space="preserve">Option One: </w:t>
      </w:r>
      <w:r w:rsidR="002A3A04">
        <w:t>No changes to the Policy, r</w:t>
      </w:r>
      <w:r w:rsidR="00DE7E82" w:rsidRPr="003E4F86">
        <w:t>etain</w:t>
      </w:r>
      <w:r w:rsidR="002A3A04">
        <w:t>ing</w:t>
      </w:r>
      <w:r w:rsidR="00DE7E82" w:rsidRPr="003E4F86">
        <w:t xml:space="preserve"> the </w:t>
      </w:r>
      <w:r w:rsidRPr="003E4F86">
        <w:t xml:space="preserve">“sinking lid”, relocation and merger clauses in the 2024 Gambling Venues policy, as they currently are in the 2021 policy. </w:t>
      </w:r>
    </w:p>
    <w:p w14:paraId="363CB966" w14:textId="14C6CF0B" w:rsidR="00B80D81" w:rsidRPr="003E4F86" w:rsidRDefault="00B80D81" w:rsidP="00B80D81">
      <w:pPr>
        <w:pStyle w:val="BodyText"/>
        <w:ind w:left="0"/>
      </w:pPr>
      <w:r w:rsidRPr="003E4F86">
        <w:t xml:space="preserve">This option has been recommended by staff as the number of </w:t>
      </w:r>
      <w:r w:rsidR="00DE7E82" w:rsidRPr="003E4F86">
        <w:t xml:space="preserve">Class 4 </w:t>
      </w:r>
      <w:r w:rsidRPr="003E4F86">
        <w:t xml:space="preserve">machines </w:t>
      </w:r>
      <w:r w:rsidR="00DE7E82" w:rsidRPr="003E4F86">
        <w:t xml:space="preserve">in the district </w:t>
      </w:r>
      <w:r w:rsidRPr="003E4F86">
        <w:t>ha</w:t>
      </w:r>
      <w:r w:rsidR="00DE7E82" w:rsidRPr="003E4F86">
        <w:t>ve</w:t>
      </w:r>
      <w:r w:rsidRPr="003E4F86">
        <w:t xml:space="preserve"> decreased</w:t>
      </w:r>
      <w:r w:rsidR="008E1B7B">
        <w:t xml:space="preserve"> by one in the past three years</w:t>
      </w:r>
      <w:r w:rsidRPr="003E4F86">
        <w:t>, and no issues have been raised to Council staff around the application of this policy in the last three years.</w:t>
      </w:r>
    </w:p>
    <w:p w14:paraId="30F73FC7" w14:textId="45164A34" w:rsidR="00574138" w:rsidRDefault="00061CC1" w:rsidP="00B80D81">
      <w:pPr>
        <w:pStyle w:val="BodyText"/>
        <w:ind w:left="0"/>
      </w:pPr>
      <w:r>
        <w:t xml:space="preserve">The </w:t>
      </w:r>
      <w:r w:rsidR="00C94574">
        <w:rPr>
          <w:szCs w:val="18"/>
        </w:rPr>
        <w:t xml:space="preserve">advantages </w:t>
      </w:r>
      <w:r>
        <w:t>of this option are:</w:t>
      </w:r>
    </w:p>
    <w:p w14:paraId="45A7EF01" w14:textId="77777777" w:rsidR="00061CC1" w:rsidRPr="00061CC1" w:rsidRDefault="00061CC1" w:rsidP="00274F3D">
      <w:pPr>
        <w:pStyle w:val="BodyText"/>
        <w:numPr>
          <w:ilvl w:val="0"/>
          <w:numId w:val="25"/>
        </w:numPr>
        <w:spacing w:after="0"/>
        <w:ind w:left="714" w:hanging="357"/>
      </w:pPr>
      <w:r w:rsidRPr="00061CC1">
        <w:t>Consistent and known sinking lid approach maintained.</w:t>
      </w:r>
    </w:p>
    <w:p w14:paraId="5688D320" w14:textId="77777777" w:rsidR="00061CC1" w:rsidRPr="00061CC1" w:rsidRDefault="00061CC1" w:rsidP="00274F3D">
      <w:pPr>
        <w:pStyle w:val="BodyText"/>
        <w:numPr>
          <w:ilvl w:val="0"/>
          <w:numId w:val="25"/>
        </w:numPr>
        <w:spacing w:after="0"/>
        <w:ind w:left="714" w:hanging="357"/>
      </w:pPr>
      <w:r w:rsidRPr="00061CC1">
        <w:t>Enables entertainment demand while supporting control of harm.</w:t>
      </w:r>
    </w:p>
    <w:p w14:paraId="5A1863B1" w14:textId="617AB857" w:rsidR="00061CC1" w:rsidRPr="00061CC1" w:rsidRDefault="00061CC1" w:rsidP="00274F3D">
      <w:pPr>
        <w:pStyle w:val="BodyText"/>
        <w:numPr>
          <w:ilvl w:val="0"/>
          <w:numId w:val="25"/>
        </w:numPr>
        <w:spacing w:after="0"/>
        <w:ind w:left="714" w:hanging="357"/>
      </w:pPr>
      <w:r>
        <w:t>Maintains</w:t>
      </w:r>
      <w:r w:rsidR="5466BA03">
        <w:t xml:space="preserve"> the</w:t>
      </w:r>
      <w:r>
        <w:t xml:space="preserve"> current level of community funding.</w:t>
      </w:r>
    </w:p>
    <w:p w14:paraId="44FD3381" w14:textId="1A0FB8AF" w:rsidR="00061CC1" w:rsidRDefault="00061CC1" w:rsidP="00274F3D">
      <w:pPr>
        <w:pStyle w:val="BodyText"/>
        <w:numPr>
          <w:ilvl w:val="0"/>
          <w:numId w:val="25"/>
        </w:numPr>
        <w:spacing w:after="0"/>
        <w:ind w:left="714" w:hanging="357"/>
      </w:pPr>
      <w:r w:rsidRPr="00061CC1">
        <w:t>Relocation and merger allow for control of location.</w:t>
      </w:r>
    </w:p>
    <w:p w14:paraId="5D23A2B7" w14:textId="77777777" w:rsidR="00274F3D" w:rsidRDefault="00274F3D" w:rsidP="00274F3D">
      <w:pPr>
        <w:pStyle w:val="BodyText"/>
        <w:spacing w:after="0"/>
        <w:ind w:left="714"/>
      </w:pPr>
    </w:p>
    <w:p w14:paraId="33B76186" w14:textId="38588276" w:rsidR="00061CC1" w:rsidRDefault="00C94574" w:rsidP="00061CC1">
      <w:pPr>
        <w:pStyle w:val="BodyText"/>
        <w:ind w:left="0"/>
      </w:pPr>
      <w:r>
        <w:t>A</w:t>
      </w:r>
      <w:r w:rsidR="00061CC1">
        <w:t xml:space="preserve"> </w:t>
      </w:r>
      <w:r>
        <w:rPr>
          <w:szCs w:val="18"/>
        </w:rPr>
        <w:t xml:space="preserve">disadvantage </w:t>
      </w:r>
      <w:r w:rsidR="009E7B5A">
        <w:t xml:space="preserve">of this option </w:t>
      </w:r>
      <w:r w:rsidR="00061CC1">
        <w:t>is:</w:t>
      </w:r>
    </w:p>
    <w:p w14:paraId="514C7A14" w14:textId="2D3C8D22" w:rsidR="00061CC1" w:rsidRPr="003E4F86" w:rsidRDefault="009E7B5A" w:rsidP="009E7B5A">
      <w:pPr>
        <w:pStyle w:val="BodyText"/>
        <w:numPr>
          <w:ilvl w:val="0"/>
          <w:numId w:val="26"/>
        </w:numPr>
      </w:pPr>
      <w:r w:rsidRPr="009E7B5A">
        <w:t>Reduction of gaming machines and venues dependant on natural attrition.</w:t>
      </w:r>
    </w:p>
    <w:p w14:paraId="0152D482" w14:textId="76BC84EB" w:rsidR="00DE7E82" w:rsidRPr="003E4F86" w:rsidRDefault="00B80D81" w:rsidP="00B80D81">
      <w:pPr>
        <w:pStyle w:val="BodyText"/>
        <w:ind w:left="0"/>
      </w:pPr>
      <w:r w:rsidRPr="003E4F86">
        <w:rPr>
          <w:b/>
          <w:bCs/>
        </w:rPr>
        <w:t>Option</w:t>
      </w:r>
      <w:r w:rsidR="00DE7E82" w:rsidRPr="003E4F86">
        <w:rPr>
          <w:b/>
          <w:bCs/>
        </w:rPr>
        <w:t xml:space="preserve"> Two:</w:t>
      </w:r>
      <w:r w:rsidR="00DE7E82" w:rsidRPr="003E4F86">
        <w:t xml:space="preserve"> </w:t>
      </w:r>
      <w:r w:rsidR="002A3A04">
        <w:t>Amend the Policy, by m</w:t>
      </w:r>
      <w:r w:rsidR="00DE7E82" w:rsidRPr="003E4F86">
        <w:t>ov</w:t>
      </w:r>
      <w:r w:rsidR="002A3A04">
        <w:t>ing</w:t>
      </w:r>
      <w:r w:rsidR="00DE7E82" w:rsidRPr="003E4F86">
        <w:t xml:space="preserve"> to a “capped machine” policy, rather than a sinking lid, and retain the existing relocation clauses in the new policy.</w:t>
      </w:r>
    </w:p>
    <w:p w14:paraId="6FFF5584" w14:textId="0038BC3D" w:rsidR="00DE7E82" w:rsidRPr="003E4F86" w:rsidRDefault="00DE7E82" w:rsidP="00B80D81">
      <w:pPr>
        <w:pStyle w:val="BodyText"/>
        <w:ind w:left="0"/>
        <w:rPr>
          <w:szCs w:val="18"/>
        </w:rPr>
      </w:pPr>
      <w:r w:rsidRPr="003E4F86">
        <w:t xml:space="preserve">This option is recommended by gambling industry groups (The Lion Foundation and GMANZ), as it </w:t>
      </w:r>
      <w:r w:rsidRPr="003E4F86">
        <w:rPr>
          <w:szCs w:val="18"/>
        </w:rPr>
        <w:t>does not encourage growth but allows for funding mechanisms to continue.</w:t>
      </w:r>
    </w:p>
    <w:p w14:paraId="3EF87E2A" w14:textId="7F6E3D3A" w:rsidR="009E7B5A" w:rsidRDefault="009E7B5A" w:rsidP="00B80D81">
      <w:pPr>
        <w:pStyle w:val="BodyText"/>
        <w:ind w:left="0"/>
        <w:rPr>
          <w:szCs w:val="18"/>
        </w:rPr>
      </w:pPr>
      <w:r>
        <w:rPr>
          <w:szCs w:val="18"/>
        </w:rPr>
        <w:t xml:space="preserve">The </w:t>
      </w:r>
      <w:r w:rsidR="00C94574">
        <w:rPr>
          <w:szCs w:val="18"/>
        </w:rPr>
        <w:t>advantages</w:t>
      </w:r>
      <w:r>
        <w:rPr>
          <w:szCs w:val="18"/>
        </w:rPr>
        <w:t xml:space="preserve"> of this option are:</w:t>
      </w:r>
    </w:p>
    <w:p w14:paraId="5DF905C2" w14:textId="77777777" w:rsidR="008F3E50" w:rsidRPr="00B77890" w:rsidRDefault="008F3E50" w:rsidP="00B77890">
      <w:pPr>
        <w:pStyle w:val="BodyText"/>
        <w:numPr>
          <w:ilvl w:val="0"/>
          <w:numId w:val="25"/>
        </w:numPr>
        <w:spacing w:after="0"/>
        <w:ind w:left="714" w:hanging="357"/>
      </w:pPr>
      <w:r w:rsidRPr="00B77890">
        <w:t>Gaming venues and gaming machine numbers cannot increase.</w:t>
      </w:r>
    </w:p>
    <w:p w14:paraId="355ED358" w14:textId="77777777" w:rsidR="008F3E50" w:rsidRPr="00B77890" w:rsidRDefault="008F3E50" w:rsidP="00B77890">
      <w:pPr>
        <w:pStyle w:val="BodyText"/>
        <w:numPr>
          <w:ilvl w:val="0"/>
          <w:numId w:val="25"/>
        </w:numPr>
        <w:spacing w:after="0"/>
        <w:ind w:left="714" w:hanging="357"/>
      </w:pPr>
      <w:r w:rsidRPr="00B77890">
        <w:t>Maintains current level of community funding.</w:t>
      </w:r>
    </w:p>
    <w:p w14:paraId="2B329A4A" w14:textId="43DA7BF2" w:rsidR="009E7B5A" w:rsidRDefault="008F3E50" w:rsidP="00B77890">
      <w:pPr>
        <w:pStyle w:val="BodyText"/>
        <w:numPr>
          <w:ilvl w:val="0"/>
          <w:numId w:val="25"/>
        </w:numPr>
        <w:spacing w:after="0"/>
        <w:ind w:left="714" w:hanging="357"/>
      </w:pPr>
      <w:r w:rsidRPr="00B77890">
        <w:t xml:space="preserve">Relocation and merger </w:t>
      </w:r>
      <w:r w:rsidR="00B77890" w:rsidRPr="00B77890">
        <w:t>allow</w:t>
      </w:r>
      <w:r w:rsidRPr="00B77890">
        <w:t xml:space="preserve"> for control of location.</w:t>
      </w:r>
    </w:p>
    <w:p w14:paraId="1BE73463" w14:textId="77777777" w:rsidR="00B77890" w:rsidRPr="00B77890" w:rsidRDefault="00B77890" w:rsidP="00B77890">
      <w:pPr>
        <w:pStyle w:val="BodyText"/>
        <w:spacing w:after="0"/>
        <w:ind w:left="714"/>
      </w:pPr>
    </w:p>
    <w:p w14:paraId="587FA92F" w14:textId="476F94CC" w:rsidR="008F3E50" w:rsidRDefault="00C94574" w:rsidP="008F3E50">
      <w:pPr>
        <w:pStyle w:val="BodyText"/>
        <w:ind w:left="0"/>
        <w:rPr>
          <w:szCs w:val="18"/>
        </w:rPr>
      </w:pPr>
      <w:r>
        <w:rPr>
          <w:szCs w:val="18"/>
        </w:rPr>
        <w:t>A</w:t>
      </w:r>
      <w:r w:rsidR="008F3E50">
        <w:rPr>
          <w:szCs w:val="18"/>
        </w:rPr>
        <w:t xml:space="preserve"> </w:t>
      </w:r>
      <w:r>
        <w:rPr>
          <w:szCs w:val="18"/>
        </w:rPr>
        <w:t>disadvantage</w:t>
      </w:r>
      <w:r w:rsidR="008F3E50">
        <w:rPr>
          <w:szCs w:val="18"/>
        </w:rPr>
        <w:t xml:space="preserve"> of this option is:</w:t>
      </w:r>
    </w:p>
    <w:p w14:paraId="5F93CDE7" w14:textId="473CACC3" w:rsidR="008F3E50" w:rsidRPr="00F33FAD" w:rsidRDefault="00F33FAD" w:rsidP="00F33FAD">
      <w:pPr>
        <w:pStyle w:val="BodyText"/>
        <w:numPr>
          <w:ilvl w:val="0"/>
          <w:numId w:val="28"/>
        </w:numPr>
        <w:rPr>
          <w:szCs w:val="18"/>
        </w:rPr>
      </w:pPr>
      <w:r w:rsidRPr="00F33FAD">
        <w:rPr>
          <w:szCs w:val="18"/>
        </w:rPr>
        <w:t>Would not contribute to a reduction in gaming machine numbers.</w:t>
      </w:r>
    </w:p>
    <w:p w14:paraId="0033F9F9" w14:textId="49D3B54D" w:rsidR="00DE7E82" w:rsidRPr="003E4F86" w:rsidRDefault="00DE7E82" w:rsidP="00B80D81">
      <w:pPr>
        <w:pStyle w:val="BodyText"/>
        <w:ind w:left="0"/>
        <w:rPr>
          <w:szCs w:val="18"/>
        </w:rPr>
      </w:pPr>
      <w:r w:rsidRPr="003E4F86">
        <w:rPr>
          <w:b/>
          <w:bCs/>
          <w:szCs w:val="18"/>
        </w:rPr>
        <w:t>Option Three:</w:t>
      </w:r>
      <w:r w:rsidRPr="003E4F86">
        <w:rPr>
          <w:szCs w:val="18"/>
        </w:rPr>
        <w:t xml:space="preserve"> </w:t>
      </w:r>
      <w:r w:rsidR="00117AC6">
        <w:rPr>
          <w:szCs w:val="18"/>
        </w:rPr>
        <w:t xml:space="preserve">Amend the </w:t>
      </w:r>
      <w:r w:rsidR="00853A43">
        <w:rPr>
          <w:szCs w:val="18"/>
        </w:rPr>
        <w:t>Policy, by m</w:t>
      </w:r>
      <w:r w:rsidRPr="003E4F86">
        <w:rPr>
          <w:szCs w:val="18"/>
        </w:rPr>
        <w:t>ov</w:t>
      </w:r>
      <w:r w:rsidR="009F6B74">
        <w:rPr>
          <w:szCs w:val="18"/>
        </w:rPr>
        <w:t>ing</w:t>
      </w:r>
      <w:r w:rsidRPr="003E4F86">
        <w:rPr>
          <w:szCs w:val="18"/>
        </w:rPr>
        <w:t xml:space="preserve"> to a “gold-standard sinking lid” policy </w:t>
      </w:r>
      <w:r w:rsidR="002F1704" w:rsidRPr="003E4F86">
        <w:rPr>
          <w:szCs w:val="18"/>
        </w:rPr>
        <w:t>clause. Merger and relocation clauses would be removed, as they are not congruent with a sinking lid policy like this.</w:t>
      </w:r>
    </w:p>
    <w:p w14:paraId="377AE3E3" w14:textId="217BE2C4" w:rsidR="002F1704" w:rsidRPr="003E4F86" w:rsidRDefault="002F1704" w:rsidP="00B80D81">
      <w:pPr>
        <w:pStyle w:val="BodyText"/>
        <w:ind w:left="0"/>
        <w:rPr>
          <w:szCs w:val="18"/>
        </w:rPr>
      </w:pPr>
      <w:r w:rsidRPr="003E4F86">
        <w:rPr>
          <w:szCs w:val="18"/>
        </w:rPr>
        <w:t xml:space="preserve">This option is recommended by community health and intervention groups (Problem Gambling Foundation, </w:t>
      </w:r>
      <w:proofErr w:type="spellStart"/>
      <w:r w:rsidRPr="003E4F86">
        <w:rPr>
          <w:szCs w:val="18"/>
        </w:rPr>
        <w:t>Manatu</w:t>
      </w:r>
      <w:proofErr w:type="spellEnd"/>
      <w:r w:rsidRPr="003E4F86">
        <w:rPr>
          <w:szCs w:val="18"/>
        </w:rPr>
        <w:t xml:space="preserve"> Ora - Ministry of Health, and Te </w:t>
      </w:r>
      <w:proofErr w:type="spellStart"/>
      <w:r w:rsidRPr="003E4F86">
        <w:rPr>
          <w:szCs w:val="18"/>
        </w:rPr>
        <w:t>Whatu</w:t>
      </w:r>
      <w:proofErr w:type="spellEnd"/>
      <w:r w:rsidRPr="003E4F86">
        <w:rPr>
          <w:szCs w:val="18"/>
        </w:rPr>
        <w:t xml:space="preserve"> Ora), as it provides more support for problem gambling intervention, and works to lessen the harm created by problem gambling. </w:t>
      </w:r>
    </w:p>
    <w:bookmarkEnd w:id="11"/>
    <w:bookmarkEnd w:id="12"/>
    <w:p w14:paraId="21954BC6" w14:textId="3AB7124E" w:rsidR="00F33FAD" w:rsidRDefault="00F33FAD" w:rsidP="00B80D81">
      <w:pPr>
        <w:pStyle w:val="BodyText"/>
        <w:ind w:left="0"/>
        <w:rPr>
          <w:szCs w:val="18"/>
        </w:rPr>
      </w:pPr>
      <w:r>
        <w:rPr>
          <w:szCs w:val="18"/>
        </w:rPr>
        <w:t xml:space="preserve">The </w:t>
      </w:r>
      <w:r w:rsidR="00C94574">
        <w:rPr>
          <w:szCs w:val="18"/>
        </w:rPr>
        <w:t xml:space="preserve">advantages </w:t>
      </w:r>
      <w:r>
        <w:rPr>
          <w:szCs w:val="18"/>
        </w:rPr>
        <w:t>of this option are:</w:t>
      </w:r>
    </w:p>
    <w:p w14:paraId="5E295A1C" w14:textId="330979BF" w:rsidR="00F33FAD" w:rsidRPr="00F33FAD" w:rsidRDefault="00DA08A4" w:rsidP="00C94574">
      <w:pPr>
        <w:pStyle w:val="BodyText"/>
        <w:numPr>
          <w:ilvl w:val="0"/>
          <w:numId w:val="28"/>
        </w:numPr>
        <w:spacing w:after="0"/>
        <w:ind w:left="714" w:hanging="357"/>
        <w:rPr>
          <w:szCs w:val="18"/>
        </w:rPr>
      </w:pPr>
      <w:r>
        <w:rPr>
          <w:szCs w:val="18"/>
        </w:rPr>
        <w:lastRenderedPageBreak/>
        <w:t>C</w:t>
      </w:r>
      <w:r w:rsidR="00F33FAD" w:rsidRPr="00F33FAD">
        <w:rPr>
          <w:szCs w:val="18"/>
        </w:rPr>
        <w:t>ontrolled relocation and merger still possible for events outside societies control e.g. fire</w:t>
      </w:r>
      <w:r w:rsidR="00C94574">
        <w:rPr>
          <w:szCs w:val="18"/>
        </w:rPr>
        <w:t>.</w:t>
      </w:r>
    </w:p>
    <w:p w14:paraId="7372DC21" w14:textId="77777777" w:rsidR="00F33FAD" w:rsidRDefault="00F33FAD" w:rsidP="00C94574">
      <w:pPr>
        <w:pStyle w:val="BodyText"/>
        <w:numPr>
          <w:ilvl w:val="0"/>
          <w:numId w:val="28"/>
        </w:numPr>
        <w:spacing w:after="0"/>
        <w:ind w:left="714" w:hanging="357"/>
        <w:rPr>
          <w:szCs w:val="18"/>
        </w:rPr>
      </w:pPr>
      <w:r w:rsidRPr="00F33FAD">
        <w:rPr>
          <w:szCs w:val="18"/>
        </w:rPr>
        <w:t xml:space="preserve">Introduction of enhanced sinking lid which would speed up the reduction of gaming machine numbers and or venues. </w:t>
      </w:r>
    </w:p>
    <w:p w14:paraId="146F8189" w14:textId="77777777" w:rsidR="00C94574" w:rsidRPr="00F33FAD" w:rsidRDefault="00C94574" w:rsidP="00C94574">
      <w:pPr>
        <w:pStyle w:val="BodyText"/>
        <w:spacing w:after="0"/>
        <w:ind w:left="714"/>
        <w:rPr>
          <w:szCs w:val="18"/>
        </w:rPr>
      </w:pPr>
    </w:p>
    <w:p w14:paraId="2ED1872D" w14:textId="53F40FB6" w:rsidR="00F33FAD" w:rsidRDefault="00F33FAD" w:rsidP="00C94574">
      <w:pPr>
        <w:pStyle w:val="BodyText"/>
        <w:ind w:left="0"/>
        <w:rPr>
          <w:szCs w:val="18"/>
        </w:rPr>
      </w:pPr>
      <w:r>
        <w:rPr>
          <w:szCs w:val="18"/>
        </w:rPr>
        <w:t xml:space="preserve">The </w:t>
      </w:r>
      <w:r w:rsidR="00C94574">
        <w:rPr>
          <w:szCs w:val="18"/>
        </w:rPr>
        <w:t xml:space="preserve">disadvantages </w:t>
      </w:r>
      <w:r>
        <w:rPr>
          <w:szCs w:val="18"/>
        </w:rPr>
        <w:t xml:space="preserve">of this options </w:t>
      </w:r>
      <w:r w:rsidR="007F6DDD">
        <w:rPr>
          <w:szCs w:val="18"/>
        </w:rPr>
        <w:t>are:</w:t>
      </w:r>
    </w:p>
    <w:p w14:paraId="7E638260" w14:textId="77777777" w:rsidR="007F6DDD" w:rsidRPr="007F6DDD" w:rsidRDefault="007F6DDD" w:rsidP="00C94574">
      <w:pPr>
        <w:pStyle w:val="BodyText"/>
        <w:numPr>
          <w:ilvl w:val="0"/>
          <w:numId w:val="28"/>
        </w:numPr>
        <w:spacing w:after="0"/>
        <w:ind w:left="714" w:hanging="357"/>
        <w:rPr>
          <w:szCs w:val="18"/>
        </w:rPr>
      </w:pPr>
      <w:r w:rsidRPr="007F6DDD">
        <w:rPr>
          <w:szCs w:val="18"/>
        </w:rPr>
        <w:t>May impact funding for community groups and organisations.</w:t>
      </w:r>
    </w:p>
    <w:p w14:paraId="4EBE6DDC" w14:textId="36B6F1D9" w:rsidR="007F6DDD" w:rsidRPr="007F6DDD" w:rsidRDefault="007F6DDD" w:rsidP="00C94574">
      <w:pPr>
        <w:pStyle w:val="BodyText"/>
        <w:numPr>
          <w:ilvl w:val="0"/>
          <w:numId w:val="28"/>
        </w:numPr>
        <w:spacing w:after="0"/>
        <w:ind w:left="714" w:hanging="357"/>
        <w:rPr>
          <w:szCs w:val="18"/>
        </w:rPr>
      </w:pPr>
      <w:r w:rsidRPr="007F6DDD">
        <w:rPr>
          <w:szCs w:val="18"/>
        </w:rPr>
        <w:t xml:space="preserve">Restriction on relocation or merger may be seen as a disadvantage </w:t>
      </w:r>
      <w:r w:rsidR="00C94574">
        <w:rPr>
          <w:szCs w:val="18"/>
        </w:rPr>
        <w:t xml:space="preserve">as this would </w:t>
      </w:r>
      <w:r w:rsidRPr="007F6DDD">
        <w:rPr>
          <w:szCs w:val="18"/>
        </w:rPr>
        <w:t>restrict development</w:t>
      </w:r>
      <w:r w:rsidR="00B77890">
        <w:rPr>
          <w:szCs w:val="18"/>
        </w:rPr>
        <w:t xml:space="preserve"> for businesses with existing</w:t>
      </w:r>
      <w:r w:rsidR="00C94574">
        <w:rPr>
          <w:szCs w:val="18"/>
        </w:rPr>
        <w:t xml:space="preserve"> Class 4</w:t>
      </w:r>
      <w:r w:rsidR="00B77890">
        <w:rPr>
          <w:szCs w:val="18"/>
        </w:rPr>
        <w:t xml:space="preserve"> licenses</w:t>
      </w:r>
      <w:r>
        <w:rPr>
          <w:szCs w:val="18"/>
        </w:rPr>
        <w:t>.</w:t>
      </w:r>
    </w:p>
    <w:p w14:paraId="26697E05" w14:textId="77777777" w:rsidR="009C38BC" w:rsidRPr="00455584" w:rsidRDefault="00E26024" w:rsidP="001C78EF">
      <w:pPr>
        <w:pStyle w:val="Heading1"/>
        <w:pBdr>
          <w:bottom w:val="single" w:sz="4" w:space="1" w:color="auto"/>
        </w:pBdr>
        <w:spacing w:line="240" w:lineRule="auto"/>
        <w:rPr>
          <w:rFonts w:cs="Open Sans"/>
          <w:bCs/>
          <w:iCs/>
          <w:smallCaps/>
          <w:color w:val="0085AD"/>
          <w:szCs w:val="28"/>
        </w:rPr>
      </w:pPr>
      <w:r w:rsidRPr="00455584">
        <w:rPr>
          <w:rFonts w:cs="Open Sans"/>
          <w:bCs/>
          <w:iCs/>
          <w:color w:val="0085AD"/>
          <w:szCs w:val="28"/>
        </w:rPr>
        <w:t xml:space="preserve">Next </w:t>
      </w:r>
      <w:r w:rsidR="00F77823" w:rsidRPr="00455584">
        <w:rPr>
          <w:rFonts w:cs="Open Sans"/>
          <w:bCs/>
          <w:iCs/>
          <w:color w:val="0085AD"/>
          <w:szCs w:val="28"/>
        </w:rPr>
        <w:t>s</w:t>
      </w:r>
      <w:r w:rsidRPr="00455584">
        <w:rPr>
          <w:rFonts w:cs="Open Sans"/>
          <w:bCs/>
          <w:iCs/>
          <w:color w:val="0085AD"/>
          <w:szCs w:val="28"/>
        </w:rPr>
        <w:t>teps</w:t>
      </w:r>
      <w:r w:rsidR="004D57A8" w:rsidRPr="00455584">
        <w:rPr>
          <w:rFonts w:cs="Open Sans"/>
          <w:bCs/>
          <w:iCs/>
          <w:color w:val="0085AD"/>
          <w:szCs w:val="28"/>
        </w:rPr>
        <w:t xml:space="preserve"> </w:t>
      </w:r>
      <w:r w:rsidR="001C78EF">
        <w:rPr>
          <w:rFonts w:cs="Open Sans"/>
          <w:bCs/>
          <w:iCs/>
          <w:color w:val="0085AD"/>
          <w:szCs w:val="28"/>
        </w:rPr>
        <w:br/>
      </w:r>
      <w:r w:rsidR="001C78EF" w:rsidRPr="001C78EF">
        <w:rPr>
          <w:rFonts w:cs="Open Sans"/>
          <w:bCs/>
          <w:iCs/>
          <w:color w:val="00B2EA"/>
          <w:szCs w:val="28"/>
        </w:rPr>
        <w:t xml:space="preserve">Ahu </w:t>
      </w:r>
      <w:proofErr w:type="spellStart"/>
      <w:r w:rsidR="001C78EF" w:rsidRPr="001C78EF">
        <w:rPr>
          <w:rFonts w:cs="Open Sans"/>
          <w:bCs/>
          <w:iCs/>
          <w:color w:val="00B2EA"/>
          <w:szCs w:val="28"/>
        </w:rPr>
        <w:t>whakamua</w:t>
      </w:r>
      <w:proofErr w:type="spellEnd"/>
    </w:p>
    <w:p w14:paraId="15AB691A" w14:textId="77777777" w:rsidR="00A26954" w:rsidRPr="003E4F86" w:rsidRDefault="00A26954" w:rsidP="00A26954">
      <w:pPr>
        <w:tabs>
          <w:tab w:val="left" w:pos="991"/>
        </w:tabs>
        <w:ind w:right="448"/>
        <w:rPr>
          <w:szCs w:val="18"/>
        </w:rPr>
      </w:pPr>
      <w:r w:rsidRPr="003E4F86">
        <w:rPr>
          <w:szCs w:val="18"/>
        </w:rPr>
        <w:t>Staff are seeking feedback from elected members to inform the policy review, in preparation for public consultation on the draft policy in June/July 2024.</w:t>
      </w:r>
    </w:p>
    <w:p w14:paraId="6DD9F928" w14:textId="77777777" w:rsidR="009C38BC" w:rsidRPr="00455584" w:rsidRDefault="009C38BC" w:rsidP="005E4A6B">
      <w:pPr>
        <w:pStyle w:val="Heading1"/>
        <w:keepNext w:val="0"/>
        <w:keepLines w:val="0"/>
        <w:pBdr>
          <w:bottom w:val="single" w:sz="4" w:space="1" w:color="auto"/>
        </w:pBdr>
        <w:spacing w:line="240" w:lineRule="auto"/>
        <w:rPr>
          <w:rFonts w:cs="Open Sans"/>
          <w:bCs/>
          <w:iCs/>
          <w:smallCaps/>
          <w:color w:val="0085AD"/>
          <w:szCs w:val="28"/>
        </w:rPr>
      </w:pPr>
      <w:r w:rsidRPr="00455584">
        <w:rPr>
          <w:rFonts w:cs="Open Sans"/>
          <w:bCs/>
          <w:iCs/>
          <w:color w:val="0085AD"/>
          <w:szCs w:val="28"/>
        </w:rPr>
        <w:t>Attachments</w:t>
      </w:r>
      <w:r w:rsidR="004D57A8" w:rsidRPr="00455584">
        <w:rPr>
          <w:rFonts w:cs="Open Sans"/>
          <w:bCs/>
          <w:iCs/>
          <w:color w:val="0085AD"/>
          <w:szCs w:val="28"/>
        </w:rPr>
        <w:t xml:space="preserve"> </w:t>
      </w:r>
      <w:r w:rsidR="001C78EF">
        <w:rPr>
          <w:rFonts w:cs="Open Sans"/>
          <w:bCs/>
          <w:iCs/>
          <w:color w:val="0085AD"/>
          <w:szCs w:val="28"/>
        </w:rPr>
        <w:br/>
      </w:r>
      <w:proofErr w:type="spellStart"/>
      <w:r w:rsidR="001C78EF" w:rsidRPr="001C78EF">
        <w:rPr>
          <w:rFonts w:cs="Open Sans"/>
          <w:bCs/>
          <w:iCs/>
          <w:color w:val="00B2EA"/>
          <w:szCs w:val="28"/>
        </w:rPr>
        <w:t>Ngaa</w:t>
      </w:r>
      <w:proofErr w:type="spellEnd"/>
      <w:r w:rsidR="001C78EF" w:rsidRPr="001C78EF">
        <w:rPr>
          <w:rFonts w:cs="Open Sans"/>
          <w:bCs/>
          <w:iCs/>
          <w:color w:val="00B2EA"/>
          <w:szCs w:val="28"/>
        </w:rPr>
        <w:t xml:space="preserve"> </w:t>
      </w:r>
      <w:proofErr w:type="spellStart"/>
      <w:r w:rsidR="001C78EF" w:rsidRPr="001C78EF">
        <w:rPr>
          <w:rFonts w:cs="Open Sans"/>
          <w:bCs/>
          <w:iCs/>
          <w:color w:val="00B2EA"/>
          <w:szCs w:val="28"/>
        </w:rPr>
        <w:t>taapirihanga</w:t>
      </w:r>
      <w:proofErr w:type="spellEnd"/>
    </w:p>
    <w:p w14:paraId="1C92950B" w14:textId="130D2AF3" w:rsidR="00CB2FFD" w:rsidRPr="001C78EF" w:rsidRDefault="00CB2FFD" w:rsidP="005E4A6B">
      <w:pPr>
        <w:jc w:val="both"/>
        <w:rPr>
          <w:rFonts w:cs="Open Sans"/>
          <w:szCs w:val="22"/>
        </w:rPr>
      </w:pPr>
      <w:r w:rsidRPr="001C78EF">
        <w:rPr>
          <w:rFonts w:cs="Open Sans"/>
          <w:szCs w:val="22"/>
        </w:rPr>
        <w:t xml:space="preserve">Attachment 1 – </w:t>
      </w:r>
      <w:r w:rsidR="002F1704">
        <w:rPr>
          <w:rFonts w:cs="Open Sans"/>
          <w:szCs w:val="22"/>
        </w:rPr>
        <w:t>2024 Social Impact Report – Gambling Venues Policy review</w:t>
      </w:r>
    </w:p>
    <w:p w14:paraId="44406A49" w14:textId="364FA6F8" w:rsidR="00E26024" w:rsidRDefault="00CB2FFD" w:rsidP="005E4A6B">
      <w:pPr>
        <w:jc w:val="both"/>
        <w:rPr>
          <w:rFonts w:cs="Open Sans"/>
          <w:szCs w:val="22"/>
        </w:rPr>
      </w:pPr>
      <w:r w:rsidRPr="001C78EF">
        <w:rPr>
          <w:rFonts w:cs="Open Sans"/>
          <w:szCs w:val="22"/>
        </w:rPr>
        <w:t xml:space="preserve">Attachment </w:t>
      </w:r>
      <w:r w:rsidR="00BC0DE1">
        <w:rPr>
          <w:rFonts w:cs="Open Sans"/>
          <w:szCs w:val="22"/>
        </w:rPr>
        <w:t>2</w:t>
      </w:r>
      <w:r w:rsidRPr="001C78EF">
        <w:rPr>
          <w:rFonts w:cs="Open Sans"/>
          <w:szCs w:val="22"/>
        </w:rPr>
        <w:t xml:space="preserve"> – </w:t>
      </w:r>
      <w:r w:rsidR="002F1704">
        <w:rPr>
          <w:rFonts w:cs="Open Sans"/>
          <w:szCs w:val="22"/>
        </w:rPr>
        <w:t>Gambling Venues Policy 2021</w:t>
      </w:r>
    </w:p>
    <w:bookmarkEnd w:id="3"/>
    <w:bookmarkEnd w:id="4"/>
    <w:bookmarkEnd w:id="6"/>
    <w:p w14:paraId="7FDCF987" w14:textId="326CABF3" w:rsidR="00D569AF" w:rsidRPr="001C78EF" w:rsidRDefault="00D569AF" w:rsidP="005E4A6B">
      <w:pPr>
        <w:jc w:val="both"/>
        <w:rPr>
          <w:rFonts w:cs="Open Sans"/>
          <w:szCs w:val="22"/>
        </w:rPr>
      </w:pPr>
      <w:r w:rsidRPr="00D569AF">
        <w:rPr>
          <w:rFonts w:cs="Open Sans"/>
          <w:szCs w:val="22"/>
        </w:rPr>
        <w:t xml:space="preserve">Attachment </w:t>
      </w:r>
      <w:r w:rsidR="00BC0DE1">
        <w:rPr>
          <w:rFonts w:cs="Open Sans"/>
          <w:szCs w:val="22"/>
        </w:rPr>
        <w:t>3</w:t>
      </w:r>
      <w:r w:rsidRPr="00D569AF">
        <w:rPr>
          <w:rFonts w:cs="Open Sans"/>
          <w:szCs w:val="22"/>
        </w:rPr>
        <w:t xml:space="preserve"> - Legislative requirements</w:t>
      </w:r>
    </w:p>
    <w:p w14:paraId="362E4FFB" w14:textId="77777777" w:rsidR="00B97DB8" w:rsidRPr="0026601F" w:rsidRDefault="00B97DB8" w:rsidP="005E4A6B">
      <w:pPr>
        <w:jc w:val="both"/>
        <w:rPr>
          <w:rFonts w:cs="Open Sans"/>
          <w:sz w:val="24"/>
          <w:szCs w:val="24"/>
        </w:rPr>
      </w:pPr>
    </w:p>
    <w:sectPr w:rsidR="00B97DB8" w:rsidRPr="0026601F" w:rsidSect="0068297E">
      <w:footerReference w:type="default" r:id="rId11"/>
      <w:headerReference w:type="first" r:id="rId12"/>
      <w:footerReference w:type="first" r:id="rId13"/>
      <w:pgSz w:w="11906" w:h="16838" w:code="9"/>
      <w:pgMar w:top="861" w:right="1418" w:bottom="1418" w:left="1418" w:header="340" w:footer="6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8D1E" w14:textId="77777777" w:rsidR="0068297E" w:rsidRDefault="0068297E">
      <w:r>
        <w:separator/>
      </w:r>
    </w:p>
  </w:endnote>
  <w:endnote w:type="continuationSeparator" w:id="0">
    <w:p w14:paraId="054CE80A" w14:textId="77777777" w:rsidR="0068297E" w:rsidRDefault="0068297E">
      <w:r>
        <w:continuationSeparator/>
      </w:r>
    </w:p>
  </w:endnote>
  <w:endnote w:type="continuationNotice" w:id="1">
    <w:p w14:paraId="15EB3686" w14:textId="77777777" w:rsidR="0068297E" w:rsidRDefault="006829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CD18" w14:textId="77777777" w:rsidR="00431387" w:rsidRPr="00313052" w:rsidRDefault="00431387" w:rsidP="00FA3F88">
    <w:pPr>
      <w:pStyle w:val="Footer"/>
      <w:pBdr>
        <w:top w:val="single" w:sz="4" w:space="1" w:color="auto"/>
      </w:pBdr>
      <w:tabs>
        <w:tab w:val="right" w:pos="9070"/>
      </w:tabs>
      <w:rPr>
        <w:rFonts w:cs="Open San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4D44" w14:textId="77777777" w:rsidR="00E6593D" w:rsidRPr="00313052" w:rsidRDefault="00E6593D" w:rsidP="00313052">
    <w:pPr>
      <w:pStyle w:val="Footer"/>
      <w:pBdr>
        <w:top w:val="single" w:sz="4" w:space="7" w:color="auto"/>
      </w:pBdr>
      <w:tabs>
        <w:tab w:val="right" w:pos="9070"/>
      </w:tabs>
      <w:rPr>
        <w:rFonts w:cs="Open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97A3" w14:textId="77777777" w:rsidR="0068297E" w:rsidRDefault="0068297E">
      <w:r>
        <w:separator/>
      </w:r>
    </w:p>
  </w:footnote>
  <w:footnote w:type="continuationSeparator" w:id="0">
    <w:p w14:paraId="78985956" w14:textId="77777777" w:rsidR="0068297E" w:rsidRDefault="0068297E">
      <w:r>
        <w:continuationSeparator/>
      </w:r>
    </w:p>
  </w:footnote>
  <w:footnote w:type="continuationNotice" w:id="1">
    <w:p w14:paraId="58E82D86" w14:textId="77777777" w:rsidR="0068297E" w:rsidRDefault="006829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9" w:type="dxa"/>
      <w:tblLook w:val="04A0" w:firstRow="1" w:lastRow="0" w:firstColumn="1" w:lastColumn="0" w:noHBand="0" w:noVBand="1"/>
    </w:tblPr>
    <w:tblGrid>
      <w:gridCol w:w="9999"/>
    </w:tblGrid>
    <w:tr w:rsidR="00431387" w:rsidRPr="00673ED8" w14:paraId="2FD4439B" w14:textId="77777777" w:rsidTr="005B4205">
      <w:trPr>
        <w:trHeight w:val="471"/>
      </w:trPr>
      <w:tc>
        <w:tcPr>
          <w:tcW w:w="9999" w:type="dxa"/>
          <w:shd w:val="clear" w:color="auto" w:fill="auto"/>
        </w:tcPr>
        <w:p w14:paraId="75C1637A" w14:textId="3DF6347F" w:rsidR="005B4205" w:rsidRPr="00CD1C92" w:rsidRDefault="0026601F" w:rsidP="005B4205">
          <w:pPr>
            <w:rPr>
              <w:rFonts w:ascii="Gill Sans MT" w:hAnsi="Gill Sans MT"/>
              <w:b/>
              <w:i/>
              <w:sz w:val="28"/>
              <w:szCs w:val="28"/>
            </w:rPr>
          </w:pPr>
          <w:r>
            <w:rPr>
              <w:rFonts w:ascii="Gill Sans MT" w:hAnsi="Gill Sans MT"/>
              <w:noProof/>
            </w:rPr>
            <w:drawing>
              <wp:inline distT="0" distB="0" distL="0" distR="0" wp14:anchorId="16E7EE37" wp14:editId="5AAA661B">
                <wp:extent cx="1324800" cy="899186"/>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24800" cy="899186"/>
                        </a:xfrm>
                        <a:prstGeom prst="rect">
                          <a:avLst/>
                        </a:prstGeom>
                      </pic:spPr>
                    </pic:pic>
                  </a:graphicData>
                </a:graphic>
              </wp:inline>
            </w:drawing>
          </w:r>
          <w:r w:rsidR="005B4205">
            <w:rPr>
              <w:rFonts w:ascii="Gill Sans MT" w:hAnsi="Gill Sans MT"/>
            </w:rPr>
            <w:t xml:space="preserve">                   </w:t>
          </w:r>
          <w:r w:rsidR="00BE560D">
            <w:rPr>
              <w:rFonts w:ascii="Gill Sans MT" w:hAnsi="Gill Sans MT"/>
            </w:rPr>
            <w:t xml:space="preserve">  </w:t>
          </w:r>
          <w:r w:rsidR="005B4205">
            <w:rPr>
              <w:rFonts w:ascii="Gill Sans MT" w:hAnsi="Gill Sans MT"/>
            </w:rPr>
            <w:t xml:space="preserve"> </w:t>
          </w:r>
        </w:p>
        <w:p w14:paraId="17123051" w14:textId="77777777" w:rsidR="00431387" w:rsidRPr="00673ED8" w:rsidRDefault="00CD6871" w:rsidP="00D77DDF">
          <w:pPr>
            <w:ind w:left="57" w:right="-138"/>
            <w:rPr>
              <w:rFonts w:ascii="Gill Sans MT" w:hAnsi="Gill Sans MT"/>
            </w:rPr>
          </w:pPr>
          <w:r>
            <w:rPr>
              <w:rFonts w:ascii="Gill Sans MT" w:hAnsi="Gill Sans MT"/>
              <w:noProof/>
              <w:lang w:val="en-US"/>
            </w:rPr>
            <w:drawing>
              <wp:inline distT="0" distB="0" distL="0" distR="0" wp14:anchorId="561C0781" wp14:editId="0C58B6B5">
                <wp:extent cx="5947410" cy="95250"/>
                <wp:effectExtent l="0" t="0" r="0" b="0"/>
                <wp:docPr id="19" name="Picture 10" descr="Black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B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7410" cy="95250"/>
                        </a:xfrm>
                        <a:prstGeom prst="rect">
                          <a:avLst/>
                        </a:prstGeom>
                        <a:noFill/>
                        <a:ln>
                          <a:noFill/>
                        </a:ln>
                      </pic:spPr>
                    </pic:pic>
                  </a:graphicData>
                </a:graphic>
              </wp:inline>
            </w:drawing>
          </w:r>
        </w:p>
      </w:tc>
    </w:tr>
  </w:tbl>
  <w:p w14:paraId="7D326347" w14:textId="77777777" w:rsidR="00431387" w:rsidRPr="005B4205" w:rsidRDefault="00431387" w:rsidP="005E4A6B">
    <w:pPr>
      <w:pStyle w:val="Header"/>
      <w:tabs>
        <w:tab w:val="left" w:pos="3110"/>
      </w:tabs>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DF0220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93081C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6700E636"/>
    <w:lvl w:ilvl="0">
      <w:start w:val="1"/>
      <w:numFmt w:val="decimal"/>
      <w:pStyle w:val="Heading1"/>
      <w:lvlText w:val="%1."/>
      <w:legacy w:legacy="1" w:legacySpace="144" w:legacyIndent="0"/>
      <w:lvlJc w:val="left"/>
      <w:rPr>
        <w:i w:val="0"/>
        <w:iCs w:val="0"/>
        <w:color w:val="0085AD"/>
      </w:rPr>
    </w:lvl>
    <w:lvl w:ilvl="1">
      <w:start w:val="1"/>
      <w:numFmt w:val="decimal"/>
      <w:pStyle w:val="Heading2"/>
      <w:lvlText w:val="%1.%2"/>
      <w:legacy w:legacy="1" w:legacySpace="144" w:legacyIndent="0"/>
      <w:lvlJc w:val="left"/>
      <w:rPr>
        <w:i w:val="0"/>
        <w:iCs w:val="0"/>
      </w:rPr>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D036045"/>
    <w:multiLevelType w:val="hybridMultilevel"/>
    <w:tmpl w:val="173E2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1E6C52"/>
    <w:multiLevelType w:val="hybridMultilevel"/>
    <w:tmpl w:val="AEF80DA6"/>
    <w:lvl w:ilvl="0" w:tplc="FDA42DC2">
      <w:start w:val="1"/>
      <w:numFmt w:val="bullet"/>
      <w:lvlText w:val=""/>
      <w:lvlJc w:val="left"/>
      <w:pPr>
        <w:tabs>
          <w:tab w:val="num" w:pos="720"/>
        </w:tabs>
        <w:ind w:left="720" w:hanging="360"/>
      </w:pPr>
      <w:rPr>
        <w:rFonts w:ascii="Wingdings" w:hAnsi="Wingdings" w:hint="default"/>
      </w:rPr>
    </w:lvl>
    <w:lvl w:ilvl="1" w:tplc="CA24797C" w:tentative="1">
      <w:start w:val="1"/>
      <w:numFmt w:val="bullet"/>
      <w:lvlText w:val=""/>
      <w:lvlJc w:val="left"/>
      <w:pPr>
        <w:tabs>
          <w:tab w:val="num" w:pos="1440"/>
        </w:tabs>
        <w:ind w:left="1440" w:hanging="360"/>
      </w:pPr>
      <w:rPr>
        <w:rFonts w:ascii="Wingdings" w:hAnsi="Wingdings" w:hint="default"/>
      </w:rPr>
    </w:lvl>
    <w:lvl w:ilvl="2" w:tplc="1C1E0F9A" w:tentative="1">
      <w:start w:val="1"/>
      <w:numFmt w:val="bullet"/>
      <w:lvlText w:val=""/>
      <w:lvlJc w:val="left"/>
      <w:pPr>
        <w:tabs>
          <w:tab w:val="num" w:pos="2160"/>
        </w:tabs>
        <w:ind w:left="2160" w:hanging="360"/>
      </w:pPr>
      <w:rPr>
        <w:rFonts w:ascii="Wingdings" w:hAnsi="Wingdings" w:hint="default"/>
      </w:rPr>
    </w:lvl>
    <w:lvl w:ilvl="3" w:tplc="EEBADCD8" w:tentative="1">
      <w:start w:val="1"/>
      <w:numFmt w:val="bullet"/>
      <w:lvlText w:val=""/>
      <w:lvlJc w:val="left"/>
      <w:pPr>
        <w:tabs>
          <w:tab w:val="num" w:pos="2880"/>
        </w:tabs>
        <w:ind w:left="2880" w:hanging="360"/>
      </w:pPr>
      <w:rPr>
        <w:rFonts w:ascii="Wingdings" w:hAnsi="Wingdings" w:hint="default"/>
      </w:rPr>
    </w:lvl>
    <w:lvl w:ilvl="4" w:tplc="EE76EE98" w:tentative="1">
      <w:start w:val="1"/>
      <w:numFmt w:val="bullet"/>
      <w:lvlText w:val=""/>
      <w:lvlJc w:val="left"/>
      <w:pPr>
        <w:tabs>
          <w:tab w:val="num" w:pos="3600"/>
        </w:tabs>
        <w:ind w:left="3600" w:hanging="360"/>
      </w:pPr>
      <w:rPr>
        <w:rFonts w:ascii="Wingdings" w:hAnsi="Wingdings" w:hint="default"/>
      </w:rPr>
    </w:lvl>
    <w:lvl w:ilvl="5" w:tplc="E1F29460" w:tentative="1">
      <w:start w:val="1"/>
      <w:numFmt w:val="bullet"/>
      <w:lvlText w:val=""/>
      <w:lvlJc w:val="left"/>
      <w:pPr>
        <w:tabs>
          <w:tab w:val="num" w:pos="4320"/>
        </w:tabs>
        <w:ind w:left="4320" w:hanging="360"/>
      </w:pPr>
      <w:rPr>
        <w:rFonts w:ascii="Wingdings" w:hAnsi="Wingdings" w:hint="default"/>
      </w:rPr>
    </w:lvl>
    <w:lvl w:ilvl="6" w:tplc="C9DA348A" w:tentative="1">
      <w:start w:val="1"/>
      <w:numFmt w:val="bullet"/>
      <w:lvlText w:val=""/>
      <w:lvlJc w:val="left"/>
      <w:pPr>
        <w:tabs>
          <w:tab w:val="num" w:pos="5040"/>
        </w:tabs>
        <w:ind w:left="5040" w:hanging="360"/>
      </w:pPr>
      <w:rPr>
        <w:rFonts w:ascii="Wingdings" w:hAnsi="Wingdings" w:hint="default"/>
      </w:rPr>
    </w:lvl>
    <w:lvl w:ilvl="7" w:tplc="E5884DA8" w:tentative="1">
      <w:start w:val="1"/>
      <w:numFmt w:val="bullet"/>
      <w:lvlText w:val=""/>
      <w:lvlJc w:val="left"/>
      <w:pPr>
        <w:tabs>
          <w:tab w:val="num" w:pos="5760"/>
        </w:tabs>
        <w:ind w:left="5760" w:hanging="360"/>
      </w:pPr>
      <w:rPr>
        <w:rFonts w:ascii="Wingdings" w:hAnsi="Wingdings" w:hint="default"/>
      </w:rPr>
    </w:lvl>
    <w:lvl w:ilvl="8" w:tplc="A008EE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37D7D"/>
    <w:multiLevelType w:val="hybridMultilevel"/>
    <w:tmpl w:val="528E96C0"/>
    <w:lvl w:ilvl="0" w:tplc="9AAC5458">
      <w:start w:val="1"/>
      <w:numFmt w:val="bullet"/>
      <w:pStyle w:val="FDCBullet"/>
      <w:lvlText w:val=""/>
      <w:lvlJc w:val="left"/>
      <w:pPr>
        <w:tabs>
          <w:tab w:val="num" w:pos="3385"/>
        </w:tabs>
        <w:ind w:left="2960" w:firstLine="0"/>
      </w:pPr>
      <w:rPr>
        <w:rFonts w:ascii="Symbol" w:hAnsi="Symbol" w:hint="default"/>
        <w:sz w:val="24"/>
        <w:szCs w:val="24"/>
      </w:rPr>
    </w:lvl>
    <w:lvl w:ilvl="1" w:tplc="0409000F">
      <w:start w:val="1"/>
      <w:numFmt w:val="decimal"/>
      <w:lvlText w:val="%2."/>
      <w:lvlJc w:val="left"/>
      <w:pPr>
        <w:tabs>
          <w:tab w:val="num" w:pos="1440"/>
        </w:tabs>
        <w:ind w:left="1440" w:hanging="360"/>
      </w:pPr>
      <w:rPr>
        <w:rFonts w:hint="default"/>
        <w:sz w:val="24"/>
        <w:szCs w:val="24"/>
      </w:rPr>
    </w:lvl>
    <w:lvl w:ilvl="2" w:tplc="0809000F">
      <w:start w:val="1"/>
      <w:numFmt w:val="decimal"/>
      <w:lvlText w:val="%3."/>
      <w:lvlJc w:val="left"/>
      <w:pPr>
        <w:tabs>
          <w:tab w:val="num" w:pos="2160"/>
        </w:tabs>
        <w:ind w:left="2160" w:hanging="360"/>
      </w:pPr>
      <w:rPr>
        <w:rFonts w:hint="default"/>
        <w:sz w:val="24"/>
        <w:szCs w:val="24"/>
      </w:rPr>
    </w:lvl>
    <w:lvl w:ilvl="3" w:tplc="BCD6E31C">
      <w:start w:val="2"/>
      <w:numFmt w:val="lowerLetter"/>
      <w:lvlText w:val="%4."/>
      <w:lvlJc w:val="left"/>
      <w:pPr>
        <w:tabs>
          <w:tab w:val="num" w:pos="2880"/>
        </w:tabs>
        <w:ind w:left="2880" w:hanging="360"/>
      </w:pPr>
      <w:rPr>
        <w:rFonts w:hint="default"/>
        <w:i/>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F5CA1"/>
    <w:multiLevelType w:val="multilevel"/>
    <w:tmpl w:val="D9F4DF0E"/>
    <w:styleLink w:val="ICListBullets"/>
    <w:lvl w:ilvl="0">
      <w:start w:val="1"/>
      <w:numFmt w:val="decimal"/>
      <w:lvlText w:val="%1."/>
      <w:lvlJc w:val="left"/>
      <w:pPr>
        <w:ind w:left="567" w:hanging="567"/>
      </w:pPr>
      <w:rPr>
        <w:rFonts w:ascii="Calibri" w:hAnsi="Calibri"/>
        <w:b w:val="0"/>
        <w:i w:val="0"/>
        <w:sz w:val="22"/>
      </w:rPr>
    </w:lvl>
    <w:lvl w:ilvl="1">
      <w:start w:val="1"/>
      <w:numFmt w:val="bullet"/>
      <w:lvlText w:val=""/>
      <w:lvlJc w:val="left"/>
      <w:pPr>
        <w:ind w:left="1701" w:hanging="1134"/>
      </w:pPr>
      <w:rPr>
        <w:rFonts w:ascii="Symbol" w:hAnsi="Symbol" w:hint="default"/>
      </w:rPr>
    </w:lvl>
    <w:lvl w:ilvl="2">
      <w:start w:val="1"/>
      <w:numFmt w:val="none"/>
      <w:lvlText w:val="%3"/>
      <w:lvlJc w:val="left"/>
      <w:pPr>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7"/>
      <w:lvlJc w:val="left"/>
      <w:pPr>
        <w:ind w:left="3969" w:hanging="567"/>
      </w:pPr>
      <w:rPr>
        <w:rFonts w:hint="default"/>
      </w:rPr>
    </w:lvl>
    <w:lvl w:ilvl="7">
      <w:start w:val="1"/>
      <w:numFmt w:val="none"/>
      <w:lvlText w:val="%8"/>
      <w:lvlJc w:val="left"/>
      <w:pPr>
        <w:ind w:left="4536" w:hanging="567"/>
      </w:pPr>
      <w:rPr>
        <w:rFonts w:hint="default"/>
      </w:rPr>
    </w:lvl>
    <w:lvl w:ilvl="8">
      <w:start w:val="1"/>
      <w:numFmt w:val="none"/>
      <w:lvlText w:val="%9"/>
      <w:lvlJc w:val="left"/>
      <w:pPr>
        <w:ind w:left="5103" w:hanging="567"/>
      </w:pPr>
      <w:rPr>
        <w:rFonts w:hint="default"/>
      </w:rPr>
    </w:lvl>
  </w:abstractNum>
  <w:abstractNum w:abstractNumId="7" w15:restartNumberingAfterBreak="0">
    <w:nsid w:val="1FFC3E90"/>
    <w:multiLevelType w:val="hybridMultilevel"/>
    <w:tmpl w:val="D2C8F6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0630FCC"/>
    <w:multiLevelType w:val="singleLevel"/>
    <w:tmpl w:val="5BC64F0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C82D70"/>
    <w:multiLevelType w:val="multilevel"/>
    <w:tmpl w:val="5F42D83A"/>
    <w:lvl w:ilvl="0">
      <w:start w:val="1"/>
      <w:numFmt w:val="lowerLetter"/>
      <w:lvlText w:val="%1."/>
      <w:lvlJc w:val="left"/>
      <w:pPr>
        <w:tabs>
          <w:tab w:val="num" w:pos="720"/>
        </w:tabs>
        <w:ind w:left="1021" w:hanging="301"/>
      </w:pPr>
      <w:rPr>
        <w:rFonts w:ascii="Open Sans" w:eastAsia="Calibri" w:hAnsi="Open Sans" w:cs="Open Sans" w:hint="default"/>
        <w:b w:val="0"/>
      </w:rPr>
    </w:lvl>
    <w:lvl w:ilvl="1">
      <w:start w:val="1"/>
      <w:numFmt w:val="lowerRoman"/>
      <w:lvlText w:val="(%2)"/>
      <w:lvlJc w:val="left"/>
      <w:pPr>
        <w:tabs>
          <w:tab w:val="num" w:pos="1077"/>
        </w:tabs>
        <w:ind w:left="1378" w:hanging="357"/>
      </w:pPr>
      <w:rPr>
        <w:rFonts w:hint="default"/>
      </w:rPr>
    </w:lvl>
    <w:lvl w:ilvl="2">
      <w:start w:val="1"/>
      <w:numFmt w:val="lowerRoman"/>
      <w:lvlText w:val="%3)"/>
      <w:lvlJc w:val="left"/>
      <w:pPr>
        <w:tabs>
          <w:tab w:val="num" w:pos="1434"/>
        </w:tabs>
        <w:ind w:left="1735" w:hanging="301"/>
      </w:pPr>
      <w:rPr>
        <w:rFonts w:hint="default"/>
      </w:rPr>
    </w:lvl>
    <w:lvl w:ilvl="3">
      <w:start w:val="1"/>
      <w:numFmt w:val="decimal"/>
      <w:lvlText w:val="(%4)"/>
      <w:lvlJc w:val="left"/>
      <w:pPr>
        <w:tabs>
          <w:tab w:val="num" w:pos="1791"/>
        </w:tabs>
        <w:ind w:left="2092" w:hanging="301"/>
      </w:pPr>
      <w:rPr>
        <w:rFonts w:hint="default"/>
      </w:rPr>
    </w:lvl>
    <w:lvl w:ilvl="4">
      <w:start w:val="1"/>
      <w:numFmt w:val="lowerLetter"/>
      <w:lvlText w:val="(%5)"/>
      <w:lvlJc w:val="left"/>
      <w:pPr>
        <w:tabs>
          <w:tab w:val="num" w:pos="2148"/>
        </w:tabs>
        <w:ind w:left="2449" w:hanging="301"/>
      </w:pPr>
      <w:rPr>
        <w:rFonts w:hint="default"/>
      </w:rPr>
    </w:lvl>
    <w:lvl w:ilvl="5">
      <w:start w:val="1"/>
      <w:numFmt w:val="lowerRoman"/>
      <w:lvlText w:val="(%6)"/>
      <w:lvlJc w:val="left"/>
      <w:pPr>
        <w:tabs>
          <w:tab w:val="num" w:pos="2505"/>
        </w:tabs>
        <w:ind w:left="2806" w:hanging="301"/>
      </w:pPr>
      <w:rPr>
        <w:rFonts w:hint="default"/>
      </w:rPr>
    </w:lvl>
    <w:lvl w:ilvl="6">
      <w:start w:val="1"/>
      <w:numFmt w:val="decimal"/>
      <w:lvlText w:val="%7."/>
      <w:lvlJc w:val="left"/>
      <w:pPr>
        <w:tabs>
          <w:tab w:val="num" w:pos="2862"/>
        </w:tabs>
        <w:ind w:left="3163" w:hanging="301"/>
      </w:pPr>
      <w:rPr>
        <w:rFonts w:hint="default"/>
      </w:rPr>
    </w:lvl>
    <w:lvl w:ilvl="7">
      <w:start w:val="1"/>
      <w:numFmt w:val="lowerLetter"/>
      <w:lvlText w:val="%8."/>
      <w:lvlJc w:val="left"/>
      <w:pPr>
        <w:tabs>
          <w:tab w:val="num" w:pos="3219"/>
        </w:tabs>
        <w:ind w:left="3520" w:hanging="301"/>
      </w:pPr>
      <w:rPr>
        <w:rFonts w:hint="default"/>
      </w:rPr>
    </w:lvl>
    <w:lvl w:ilvl="8">
      <w:start w:val="1"/>
      <w:numFmt w:val="lowerRoman"/>
      <w:lvlText w:val="%9."/>
      <w:lvlJc w:val="left"/>
      <w:pPr>
        <w:tabs>
          <w:tab w:val="num" w:pos="3576"/>
        </w:tabs>
        <w:ind w:left="3877" w:hanging="301"/>
      </w:pPr>
      <w:rPr>
        <w:rFonts w:hint="default"/>
        <w:b w:val="0"/>
        <w:bCs w:val="0"/>
      </w:rPr>
    </w:lvl>
  </w:abstractNum>
  <w:abstractNum w:abstractNumId="10" w15:restartNumberingAfterBreak="0">
    <w:nsid w:val="38043E37"/>
    <w:multiLevelType w:val="hybridMultilevel"/>
    <w:tmpl w:val="ED8A72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A162BEB"/>
    <w:multiLevelType w:val="hybridMultilevel"/>
    <w:tmpl w:val="B174515A"/>
    <w:lvl w:ilvl="0" w:tplc="14090001">
      <w:numFmt w:val="bullet"/>
      <w:lvlText w:val=""/>
      <w:lvlJc w:val="left"/>
      <w:pPr>
        <w:ind w:left="360" w:hanging="360"/>
      </w:pPr>
      <w:rPr>
        <w:rFonts w:ascii="Symbol" w:eastAsia="Times New Roman" w:hAnsi="Symbol" w:cs="Times New Roman"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01A6262"/>
    <w:multiLevelType w:val="hybridMultilevel"/>
    <w:tmpl w:val="27183D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59B02AF"/>
    <w:multiLevelType w:val="hybridMultilevel"/>
    <w:tmpl w:val="523C22A2"/>
    <w:lvl w:ilvl="0" w:tplc="20B2A282">
      <w:numFmt w:val="bullet"/>
      <w:lvlText w:val=""/>
      <w:lvlJc w:val="left"/>
      <w:pPr>
        <w:ind w:left="991" w:hanging="428"/>
      </w:pPr>
      <w:rPr>
        <w:rFonts w:ascii="Symbol" w:eastAsia="Symbol" w:hAnsi="Symbol" w:cs="Symbol" w:hint="default"/>
        <w:b w:val="0"/>
        <w:bCs w:val="0"/>
        <w:i w:val="0"/>
        <w:iCs w:val="0"/>
        <w:spacing w:val="0"/>
        <w:w w:val="100"/>
        <w:sz w:val="24"/>
        <w:szCs w:val="24"/>
        <w:lang w:val="en-US" w:eastAsia="en-US" w:bidi="ar-SA"/>
      </w:rPr>
    </w:lvl>
    <w:lvl w:ilvl="1" w:tplc="FCC81818">
      <w:numFmt w:val="bullet"/>
      <w:lvlText w:val="•"/>
      <w:lvlJc w:val="left"/>
      <w:pPr>
        <w:ind w:left="1880" w:hanging="428"/>
      </w:pPr>
      <w:rPr>
        <w:rFonts w:hint="default"/>
        <w:lang w:val="en-US" w:eastAsia="en-US" w:bidi="ar-SA"/>
      </w:rPr>
    </w:lvl>
    <w:lvl w:ilvl="2" w:tplc="B58E7600">
      <w:numFmt w:val="bullet"/>
      <w:lvlText w:val="•"/>
      <w:lvlJc w:val="left"/>
      <w:pPr>
        <w:ind w:left="2761" w:hanging="428"/>
      </w:pPr>
      <w:rPr>
        <w:rFonts w:hint="default"/>
        <w:lang w:val="en-US" w:eastAsia="en-US" w:bidi="ar-SA"/>
      </w:rPr>
    </w:lvl>
    <w:lvl w:ilvl="3" w:tplc="5E184390">
      <w:numFmt w:val="bullet"/>
      <w:lvlText w:val="•"/>
      <w:lvlJc w:val="left"/>
      <w:pPr>
        <w:ind w:left="3641" w:hanging="428"/>
      </w:pPr>
      <w:rPr>
        <w:rFonts w:hint="default"/>
        <w:lang w:val="en-US" w:eastAsia="en-US" w:bidi="ar-SA"/>
      </w:rPr>
    </w:lvl>
    <w:lvl w:ilvl="4" w:tplc="7CB0F88C">
      <w:numFmt w:val="bullet"/>
      <w:lvlText w:val="•"/>
      <w:lvlJc w:val="left"/>
      <w:pPr>
        <w:ind w:left="4522" w:hanging="428"/>
      </w:pPr>
      <w:rPr>
        <w:rFonts w:hint="default"/>
        <w:lang w:val="en-US" w:eastAsia="en-US" w:bidi="ar-SA"/>
      </w:rPr>
    </w:lvl>
    <w:lvl w:ilvl="5" w:tplc="D7EAB4A4">
      <w:numFmt w:val="bullet"/>
      <w:lvlText w:val="•"/>
      <w:lvlJc w:val="left"/>
      <w:pPr>
        <w:ind w:left="5403" w:hanging="428"/>
      </w:pPr>
      <w:rPr>
        <w:rFonts w:hint="default"/>
        <w:lang w:val="en-US" w:eastAsia="en-US" w:bidi="ar-SA"/>
      </w:rPr>
    </w:lvl>
    <w:lvl w:ilvl="6" w:tplc="8D209E92">
      <w:numFmt w:val="bullet"/>
      <w:lvlText w:val="•"/>
      <w:lvlJc w:val="left"/>
      <w:pPr>
        <w:ind w:left="6283" w:hanging="428"/>
      </w:pPr>
      <w:rPr>
        <w:rFonts w:hint="default"/>
        <w:lang w:val="en-US" w:eastAsia="en-US" w:bidi="ar-SA"/>
      </w:rPr>
    </w:lvl>
    <w:lvl w:ilvl="7" w:tplc="AD9E3D2A">
      <w:numFmt w:val="bullet"/>
      <w:lvlText w:val="•"/>
      <w:lvlJc w:val="left"/>
      <w:pPr>
        <w:ind w:left="7164" w:hanging="428"/>
      </w:pPr>
      <w:rPr>
        <w:rFonts w:hint="default"/>
        <w:lang w:val="en-US" w:eastAsia="en-US" w:bidi="ar-SA"/>
      </w:rPr>
    </w:lvl>
    <w:lvl w:ilvl="8" w:tplc="CA62C27C">
      <w:numFmt w:val="bullet"/>
      <w:lvlText w:val="•"/>
      <w:lvlJc w:val="left"/>
      <w:pPr>
        <w:ind w:left="8045" w:hanging="428"/>
      </w:pPr>
      <w:rPr>
        <w:rFonts w:hint="default"/>
        <w:lang w:val="en-US" w:eastAsia="en-US" w:bidi="ar-SA"/>
      </w:rPr>
    </w:lvl>
  </w:abstractNum>
  <w:abstractNum w:abstractNumId="14" w15:restartNumberingAfterBreak="0">
    <w:nsid w:val="47C80099"/>
    <w:multiLevelType w:val="singleLevel"/>
    <w:tmpl w:val="C28035D0"/>
    <w:lvl w:ilvl="0">
      <w:start w:val="1"/>
      <w:numFmt w:val="lowerLetter"/>
      <w:pStyle w:val="BodyTextAlpha"/>
      <w:lvlText w:val="%1."/>
      <w:lvlJc w:val="left"/>
      <w:pPr>
        <w:tabs>
          <w:tab w:val="num" w:pos="720"/>
        </w:tabs>
        <w:ind w:left="720" w:hanging="720"/>
      </w:pPr>
      <w:rPr>
        <w:rFonts w:ascii="Bookman Old Style" w:hAnsi="Bookman Old Style" w:hint="default"/>
        <w:b w:val="0"/>
        <w:i w:val="0"/>
        <w:sz w:val="22"/>
      </w:rPr>
    </w:lvl>
  </w:abstractNum>
  <w:abstractNum w:abstractNumId="15" w15:restartNumberingAfterBreak="0">
    <w:nsid w:val="4D14404C"/>
    <w:multiLevelType w:val="hybridMultilevel"/>
    <w:tmpl w:val="C9FEB8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E6E20C1"/>
    <w:multiLevelType w:val="hybridMultilevel"/>
    <w:tmpl w:val="7AE2CBF8"/>
    <w:lvl w:ilvl="0" w:tplc="6030AE02">
      <w:start w:val="1"/>
      <w:numFmt w:val="bullet"/>
      <w:lvlText w:val=""/>
      <w:lvlJc w:val="left"/>
      <w:pPr>
        <w:tabs>
          <w:tab w:val="num" w:pos="720"/>
        </w:tabs>
        <w:ind w:left="720" w:hanging="360"/>
      </w:pPr>
      <w:rPr>
        <w:rFonts w:ascii="Wingdings" w:hAnsi="Wingdings" w:hint="default"/>
      </w:rPr>
    </w:lvl>
    <w:lvl w:ilvl="1" w:tplc="228497C8" w:tentative="1">
      <w:start w:val="1"/>
      <w:numFmt w:val="bullet"/>
      <w:lvlText w:val=""/>
      <w:lvlJc w:val="left"/>
      <w:pPr>
        <w:tabs>
          <w:tab w:val="num" w:pos="1440"/>
        </w:tabs>
        <w:ind w:left="1440" w:hanging="360"/>
      </w:pPr>
      <w:rPr>
        <w:rFonts w:ascii="Wingdings" w:hAnsi="Wingdings" w:hint="default"/>
      </w:rPr>
    </w:lvl>
    <w:lvl w:ilvl="2" w:tplc="6CB01A6C" w:tentative="1">
      <w:start w:val="1"/>
      <w:numFmt w:val="bullet"/>
      <w:lvlText w:val=""/>
      <w:lvlJc w:val="left"/>
      <w:pPr>
        <w:tabs>
          <w:tab w:val="num" w:pos="2160"/>
        </w:tabs>
        <w:ind w:left="2160" w:hanging="360"/>
      </w:pPr>
      <w:rPr>
        <w:rFonts w:ascii="Wingdings" w:hAnsi="Wingdings" w:hint="default"/>
      </w:rPr>
    </w:lvl>
    <w:lvl w:ilvl="3" w:tplc="171296AE" w:tentative="1">
      <w:start w:val="1"/>
      <w:numFmt w:val="bullet"/>
      <w:lvlText w:val=""/>
      <w:lvlJc w:val="left"/>
      <w:pPr>
        <w:tabs>
          <w:tab w:val="num" w:pos="2880"/>
        </w:tabs>
        <w:ind w:left="2880" w:hanging="360"/>
      </w:pPr>
      <w:rPr>
        <w:rFonts w:ascii="Wingdings" w:hAnsi="Wingdings" w:hint="default"/>
      </w:rPr>
    </w:lvl>
    <w:lvl w:ilvl="4" w:tplc="1032A094" w:tentative="1">
      <w:start w:val="1"/>
      <w:numFmt w:val="bullet"/>
      <w:lvlText w:val=""/>
      <w:lvlJc w:val="left"/>
      <w:pPr>
        <w:tabs>
          <w:tab w:val="num" w:pos="3600"/>
        </w:tabs>
        <w:ind w:left="3600" w:hanging="360"/>
      </w:pPr>
      <w:rPr>
        <w:rFonts w:ascii="Wingdings" w:hAnsi="Wingdings" w:hint="default"/>
      </w:rPr>
    </w:lvl>
    <w:lvl w:ilvl="5" w:tplc="C0840A1E" w:tentative="1">
      <w:start w:val="1"/>
      <w:numFmt w:val="bullet"/>
      <w:lvlText w:val=""/>
      <w:lvlJc w:val="left"/>
      <w:pPr>
        <w:tabs>
          <w:tab w:val="num" w:pos="4320"/>
        </w:tabs>
        <w:ind w:left="4320" w:hanging="360"/>
      </w:pPr>
      <w:rPr>
        <w:rFonts w:ascii="Wingdings" w:hAnsi="Wingdings" w:hint="default"/>
      </w:rPr>
    </w:lvl>
    <w:lvl w:ilvl="6" w:tplc="73C6032E" w:tentative="1">
      <w:start w:val="1"/>
      <w:numFmt w:val="bullet"/>
      <w:lvlText w:val=""/>
      <w:lvlJc w:val="left"/>
      <w:pPr>
        <w:tabs>
          <w:tab w:val="num" w:pos="5040"/>
        </w:tabs>
        <w:ind w:left="5040" w:hanging="360"/>
      </w:pPr>
      <w:rPr>
        <w:rFonts w:ascii="Wingdings" w:hAnsi="Wingdings" w:hint="default"/>
      </w:rPr>
    </w:lvl>
    <w:lvl w:ilvl="7" w:tplc="747C43C4" w:tentative="1">
      <w:start w:val="1"/>
      <w:numFmt w:val="bullet"/>
      <w:lvlText w:val=""/>
      <w:lvlJc w:val="left"/>
      <w:pPr>
        <w:tabs>
          <w:tab w:val="num" w:pos="5760"/>
        </w:tabs>
        <w:ind w:left="5760" w:hanging="360"/>
      </w:pPr>
      <w:rPr>
        <w:rFonts w:ascii="Wingdings" w:hAnsi="Wingdings" w:hint="default"/>
      </w:rPr>
    </w:lvl>
    <w:lvl w:ilvl="8" w:tplc="34701E9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666B50"/>
    <w:multiLevelType w:val="hybridMultilevel"/>
    <w:tmpl w:val="4D82C5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3870B7"/>
    <w:multiLevelType w:val="hybridMultilevel"/>
    <w:tmpl w:val="E932E160"/>
    <w:lvl w:ilvl="0" w:tplc="CE24ED6A">
      <w:numFmt w:val="bullet"/>
      <w:lvlText w:val=""/>
      <w:lvlJc w:val="left"/>
      <w:pPr>
        <w:ind w:left="991" w:hanging="360"/>
      </w:pPr>
      <w:rPr>
        <w:rFonts w:ascii="Symbol" w:eastAsia="Symbol" w:hAnsi="Symbol" w:cs="Symbol" w:hint="default"/>
        <w:spacing w:val="0"/>
        <w:w w:val="100"/>
        <w:lang w:val="en-US" w:eastAsia="en-US" w:bidi="ar-SA"/>
      </w:rPr>
    </w:lvl>
    <w:lvl w:ilvl="1" w:tplc="BA803096">
      <w:numFmt w:val="bullet"/>
      <w:lvlText w:val="o"/>
      <w:lvlJc w:val="left"/>
      <w:pPr>
        <w:ind w:left="1781" w:hanging="360"/>
      </w:pPr>
      <w:rPr>
        <w:rFonts w:ascii="Courier New" w:eastAsia="Courier New" w:hAnsi="Courier New" w:cs="Courier New" w:hint="default"/>
        <w:b w:val="0"/>
        <w:bCs w:val="0"/>
        <w:i w:val="0"/>
        <w:iCs w:val="0"/>
        <w:spacing w:val="0"/>
        <w:w w:val="100"/>
        <w:sz w:val="24"/>
        <w:szCs w:val="24"/>
        <w:lang w:val="en-US" w:eastAsia="en-US" w:bidi="ar-SA"/>
      </w:rPr>
    </w:lvl>
    <w:lvl w:ilvl="2" w:tplc="70B090BE">
      <w:numFmt w:val="bullet"/>
      <w:lvlText w:val="•"/>
      <w:lvlJc w:val="left"/>
      <w:pPr>
        <w:ind w:left="2671" w:hanging="360"/>
      </w:pPr>
      <w:rPr>
        <w:rFonts w:hint="default"/>
        <w:lang w:val="en-US" w:eastAsia="en-US" w:bidi="ar-SA"/>
      </w:rPr>
    </w:lvl>
    <w:lvl w:ilvl="3" w:tplc="579A2A7E">
      <w:numFmt w:val="bullet"/>
      <w:lvlText w:val="•"/>
      <w:lvlJc w:val="left"/>
      <w:pPr>
        <w:ind w:left="3563" w:hanging="360"/>
      </w:pPr>
      <w:rPr>
        <w:rFonts w:hint="default"/>
        <w:lang w:val="en-US" w:eastAsia="en-US" w:bidi="ar-SA"/>
      </w:rPr>
    </w:lvl>
    <w:lvl w:ilvl="4" w:tplc="A8C8A72C">
      <w:numFmt w:val="bullet"/>
      <w:lvlText w:val="•"/>
      <w:lvlJc w:val="left"/>
      <w:pPr>
        <w:ind w:left="4455" w:hanging="360"/>
      </w:pPr>
      <w:rPr>
        <w:rFonts w:hint="default"/>
        <w:lang w:val="en-US" w:eastAsia="en-US" w:bidi="ar-SA"/>
      </w:rPr>
    </w:lvl>
    <w:lvl w:ilvl="5" w:tplc="D1CAB6CA">
      <w:numFmt w:val="bullet"/>
      <w:lvlText w:val="•"/>
      <w:lvlJc w:val="left"/>
      <w:pPr>
        <w:ind w:left="5347" w:hanging="360"/>
      </w:pPr>
      <w:rPr>
        <w:rFonts w:hint="default"/>
        <w:lang w:val="en-US" w:eastAsia="en-US" w:bidi="ar-SA"/>
      </w:rPr>
    </w:lvl>
    <w:lvl w:ilvl="6" w:tplc="FB545C54">
      <w:numFmt w:val="bullet"/>
      <w:lvlText w:val="•"/>
      <w:lvlJc w:val="left"/>
      <w:pPr>
        <w:ind w:left="6239" w:hanging="360"/>
      </w:pPr>
      <w:rPr>
        <w:rFonts w:hint="default"/>
        <w:lang w:val="en-US" w:eastAsia="en-US" w:bidi="ar-SA"/>
      </w:rPr>
    </w:lvl>
    <w:lvl w:ilvl="7" w:tplc="9470F89A">
      <w:numFmt w:val="bullet"/>
      <w:lvlText w:val="•"/>
      <w:lvlJc w:val="left"/>
      <w:pPr>
        <w:ind w:left="7130" w:hanging="360"/>
      </w:pPr>
      <w:rPr>
        <w:rFonts w:hint="default"/>
        <w:lang w:val="en-US" w:eastAsia="en-US" w:bidi="ar-SA"/>
      </w:rPr>
    </w:lvl>
    <w:lvl w:ilvl="8" w:tplc="D75C9C68">
      <w:numFmt w:val="bullet"/>
      <w:lvlText w:val="•"/>
      <w:lvlJc w:val="left"/>
      <w:pPr>
        <w:ind w:left="8022" w:hanging="360"/>
      </w:pPr>
      <w:rPr>
        <w:rFonts w:hint="default"/>
        <w:lang w:val="en-US" w:eastAsia="en-US" w:bidi="ar-SA"/>
      </w:rPr>
    </w:lvl>
  </w:abstractNum>
  <w:abstractNum w:abstractNumId="19" w15:restartNumberingAfterBreak="0">
    <w:nsid w:val="5D3A3B68"/>
    <w:multiLevelType w:val="hybridMultilevel"/>
    <w:tmpl w:val="65CE0160"/>
    <w:lvl w:ilvl="0" w:tplc="FD008550">
      <w:start w:val="4"/>
      <w:numFmt w:val="decimal"/>
      <w:lvlText w:val="%1."/>
      <w:lvlJc w:val="left"/>
      <w:pPr>
        <w:ind w:left="622" w:hanging="351"/>
      </w:pPr>
      <w:rPr>
        <w:rFonts w:ascii="Gill Sans MT" w:eastAsia="Gill Sans MT" w:hAnsi="Gill Sans MT" w:cs="Gill Sans MT" w:hint="default"/>
        <w:b/>
        <w:bCs/>
        <w:i w:val="0"/>
        <w:iCs w:val="0"/>
        <w:color w:val="808080"/>
        <w:spacing w:val="-1"/>
        <w:w w:val="99"/>
        <w:sz w:val="32"/>
        <w:szCs w:val="32"/>
        <w:lang w:val="en-US" w:eastAsia="en-US" w:bidi="ar-SA"/>
      </w:rPr>
    </w:lvl>
    <w:lvl w:ilvl="1" w:tplc="F8AA5512">
      <w:numFmt w:val="bullet"/>
      <w:lvlText w:val=""/>
      <w:lvlJc w:val="left"/>
      <w:pPr>
        <w:ind w:left="991" w:hanging="360"/>
      </w:pPr>
      <w:rPr>
        <w:rFonts w:ascii="Symbol" w:eastAsia="Symbol" w:hAnsi="Symbol" w:cs="Symbol" w:hint="default"/>
        <w:spacing w:val="0"/>
        <w:w w:val="100"/>
        <w:lang w:val="en-US" w:eastAsia="en-US" w:bidi="ar-SA"/>
      </w:rPr>
    </w:lvl>
    <w:lvl w:ilvl="2" w:tplc="FB0C7F06">
      <w:numFmt w:val="bullet"/>
      <w:lvlText w:val="o"/>
      <w:lvlJc w:val="left"/>
      <w:pPr>
        <w:ind w:left="1781" w:hanging="360"/>
      </w:pPr>
      <w:rPr>
        <w:rFonts w:ascii="Courier New" w:eastAsia="Courier New" w:hAnsi="Courier New" w:cs="Courier New" w:hint="default"/>
        <w:b w:val="0"/>
        <w:bCs w:val="0"/>
        <w:i w:val="0"/>
        <w:iCs w:val="0"/>
        <w:spacing w:val="0"/>
        <w:w w:val="100"/>
        <w:sz w:val="24"/>
        <w:szCs w:val="24"/>
        <w:lang w:val="en-US" w:eastAsia="en-US" w:bidi="ar-SA"/>
      </w:rPr>
    </w:lvl>
    <w:lvl w:ilvl="3" w:tplc="72F49BB8">
      <w:numFmt w:val="bullet"/>
      <w:lvlText w:val="o"/>
      <w:lvlJc w:val="left"/>
      <w:pPr>
        <w:ind w:left="2501" w:hanging="360"/>
      </w:pPr>
      <w:rPr>
        <w:rFonts w:ascii="Courier New" w:eastAsia="Courier New" w:hAnsi="Courier New" w:cs="Courier New" w:hint="default"/>
        <w:b w:val="0"/>
        <w:bCs w:val="0"/>
        <w:i w:val="0"/>
        <w:iCs w:val="0"/>
        <w:spacing w:val="0"/>
        <w:w w:val="100"/>
        <w:sz w:val="24"/>
        <w:szCs w:val="24"/>
        <w:lang w:val="en-US" w:eastAsia="en-US" w:bidi="ar-SA"/>
      </w:rPr>
    </w:lvl>
    <w:lvl w:ilvl="4" w:tplc="629C7DD2">
      <w:numFmt w:val="bullet"/>
      <w:lvlText w:val="•"/>
      <w:lvlJc w:val="left"/>
      <w:pPr>
        <w:ind w:left="2500" w:hanging="360"/>
      </w:pPr>
      <w:rPr>
        <w:rFonts w:hint="default"/>
        <w:lang w:val="en-US" w:eastAsia="en-US" w:bidi="ar-SA"/>
      </w:rPr>
    </w:lvl>
    <w:lvl w:ilvl="5" w:tplc="542EBA02">
      <w:numFmt w:val="bullet"/>
      <w:lvlText w:val="•"/>
      <w:lvlJc w:val="left"/>
      <w:pPr>
        <w:ind w:left="3717" w:hanging="360"/>
      </w:pPr>
      <w:rPr>
        <w:rFonts w:hint="default"/>
        <w:lang w:val="en-US" w:eastAsia="en-US" w:bidi="ar-SA"/>
      </w:rPr>
    </w:lvl>
    <w:lvl w:ilvl="6" w:tplc="63F41F08">
      <w:numFmt w:val="bullet"/>
      <w:lvlText w:val="•"/>
      <w:lvlJc w:val="left"/>
      <w:pPr>
        <w:ind w:left="4935" w:hanging="360"/>
      </w:pPr>
      <w:rPr>
        <w:rFonts w:hint="default"/>
        <w:lang w:val="en-US" w:eastAsia="en-US" w:bidi="ar-SA"/>
      </w:rPr>
    </w:lvl>
    <w:lvl w:ilvl="7" w:tplc="C28890F6">
      <w:numFmt w:val="bullet"/>
      <w:lvlText w:val="•"/>
      <w:lvlJc w:val="left"/>
      <w:pPr>
        <w:ind w:left="6153" w:hanging="360"/>
      </w:pPr>
      <w:rPr>
        <w:rFonts w:hint="default"/>
        <w:lang w:val="en-US" w:eastAsia="en-US" w:bidi="ar-SA"/>
      </w:rPr>
    </w:lvl>
    <w:lvl w:ilvl="8" w:tplc="BF9E8220">
      <w:numFmt w:val="bullet"/>
      <w:lvlText w:val="•"/>
      <w:lvlJc w:val="left"/>
      <w:pPr>
        <w:ind w:left="7370" w:hanging="360"/>
      </w:pPr>
      <w:rPr>
        <w:rFonts w:hint="default"/>
        <w:lang w:val="en-US" w:eastAsia="en-US" w:bidi="ar-SA"/>
      </w:rPr>
    </w:lvl>
  </w:abstractNum>
  <w:abstractNum w:abstractNumId="20" w15:restartNumberingAfterBreak="0">
    <w:nsid w:val="5D6C3BAA"/>
    <w:multiLevelType w:val="hybridMultilevel"/>
    <w:tmpl w:val="5C1C31B8"/>
    <w:lvl w:ilvl="0" w:tplc="1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5DB658B3"/>
    <w:multiLevelType w:val="hybridMultilevel"/>
    <w:tmpl w:val="18CEF9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27B4A7F"/>
    <w:multiLevelType w:val="hybridMultilevel"/>
    <w:tmpl w:val="37D44F66"/>
    <w:lvl w:ilvl="0" w:tplc="5990402A">
      <w:start w:val="1"/>
      <w:numFmt w:val="bullet"/>
      <w:lvlText w:val=""/>
      <w:lvlJc w:val="left"/>
      <w:pPr>
        <w:tabs>
          <w:tab w:val="num" w:pos="720"/>
        </w:tabs>
        <w:ind w:left="720" w:hanging="360"/>
      </w:pPr>
      <w:rPr>
        <w:rFonts w:ascii="Wingdings" w:hAnsi="Wingdings" w:hint="default"/>
      </w:rPr>
    </w:lvl>
    <w:lvl w:ilvl="1" w:tplc="E450804E" w:tentative="1">
      <w:start w:val="1"/>
      <w:numFmt w:val="bullet"/>
      <w:lvlText w:val=""/>
      <w:lvlJc w:val="left"/>
      <w:pPr>
        <w:tabs>
          <w:tab w:val="num" w:pos="1440"/>
        </w:tabs>
        <w:ind w:left="1440" w:hanging="360"/>
      </w:pPr>
      <w:rPr>
        <w:rFonts w:ascii="Wingdings" w:hAnsi="Wingdings" w:hint="default"/>
      </w:rPr>
    </w:lvl>
    <w:lvl w:ilvl="2" w:tplc="B5CE42CC" w:tentative="1">
      <w:start w:val="1"/>
      <w:numFmt w:val="bullet"/>
      <w:lvlText w:val=""/>
      <w:lvlJc w:val="left"/>
      <w:pPr>
        <w:tabs>
          <w:tab w:val="num" w:pos="2160"/>
        </w:tabs>
        <w:ind w:left="2160" w:hanging="360"/>
      </w:pPr>
      <w:rPr>
        <w:rFonts w:ascii="Wingdings" w:hAnsi="Wingdings" w:hint="default"/>
      </w:rPr>
    </w:lvl>
    <w:lvl w:ilvl="3" w:tplc="FDDA5A52" w:tentative="1">
      <w:start w:val="1"/>
      <w:numFmt w:val="bullet"/>
      <w:lvlText w:val=""/>
      <w:lvlJc w:val="left"/>
      <w:pPr>
        <w:tabs>
          <w:tab w:val="num" w:pos="2880"/>
        </w:tabs>
        <w:ind w:left="2880" w:hanging="360"/>
      </w:pPr>
      <w:rPr>
        <w:rFonts w:ascii="Wingdings" w:hAnsi="Wingdings" w:hint="default"/>
      </w:rPr>
    </w:lvl>
    <w:lvl w:ilvl="4" w:tplc="74FEA444" w:tentative="1">
      <w:start w:val="1"/>
      <w:numFmt w:val="bullet"/>
      <w:lvlText w:val=""/>
      <w:lvlJc w:val="left"/>
      <w:pPr>
        <w:tabs>
          <w:tab w:val="num" w:pos="3600"/>
        </w:tabs>
        <w:ind w:left="3600" w:hanging="360"/>
      </w:pPr>
      <w:rPr>
        <w:rFonts w:ascii="Wingdings" w:hAnsi="Wingdings" w:hint="default"/>
      </w:rPr>
    </w:lvl>
    <w:lvl w:ilvl="5" w:tplc="59AEE95A" w:tentative="1">
      <w:start w:val="1"/>
      <w:numFmt w:val="bullet"/>
      <w:lvlText w:val=""/>
      <w:lvlJc w:val="left"/>
      <w:pPr>
        <w:tabs>
          <w:tab w:val="num" w:pos="4320"/>
        </w:tabs>
        <w:ind w:left="4320" w:hanging="360"/>
      </w:pPr>
      <w:rPr>
        <w:rFonts w:ascii="Wingdings" w:hAnsi="Wingdings" w:hint="default"/>
      </w:rPr>
    </w:lvl>
    <w:lvl w:ilvl="6" w:tplc="D94259C0" w:tentative="1">
      <w:start w:val="1"/>
      <w:numFmt w:val="bullet"/>
      <w:lvlText w:val=""/>
      <w:lvlJc w:val="left"/>
      <w:pPr>
        <w:tabs>
          <w:tab w:val="num" w:pos="5040"/>
        </w:tabs>
        <w:ind w:left="5040" w:hanging="360"/>
      </w:pPr>
      <w:rPr>
        <w:rFonts w:ascii="Wingdings" w:hAnsi="Wingdings" w:hint="default"/>
      </w:rPr>
    </w:lvl>
    <w:lvl w:ilvl="7" w:tplc="8A02F83C" w:tentative="1">
      <w:start w:val="1"/>
      <w:numFmt w:val="bullet"/>
      <w:lvlText w:val=""/>
      <w:lvlJc w:val="left"/>
      <w:pPr>
        <w:tabs>
          <w:tab w:val="num" w:pos="5760"/>
        </w:tabs>
        <w:ind w:left="5760" w:hanging="360"/>
      </w:pPr>
      <w:rPr>
        <w:rFonts w:ascii="Wingdings" w:hAnsi="Wingdings" w:hint="default"/>
      </w:rPr>
    </w:lvl>
    <w:lvl w:ilvl="8" w:tplc="B3D45C2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C843D5"/>
    <w:multiLevelType w:val="hybridMultilevel"/>
    <w:tmpl w:val="FA288B9C"/>
    <w:lvl w:ilvl="0" w:tplc="4DF62DAE">
      <w:start w:val="1"/>
      <w:numFmt w:val="bullet"/>
      <w:lvlText w:val=""/>
      <w:lvlJc w:val="left"/>
      <w:pPr>
        <w:tabs>
          <w:tab w:val="num" w:pos="720"/>
        </w:tabs>
        <w:ind w:left="720" w:hanging="360"/>
      </w:pPr>
      <w:rPr>
        <w:rFonts w:ascii="Wingdings" w:hAnsi="Wingdings" w:hint="default"/>
      </w:rPr>
    </w:lvl>
    <w:lvl w:ilvl="1" w:tplc="B60ED3CC" w:tentative="1">
      <w:start w:val="1"/>
      <w:numFmt w:val="bullet"/>
      <w:lvlText w:val=""/>
      <w:lvlJc w:val="left"/>
      <w:pPr>
        <w:tabs>
          <w:tab w:val="num" w:pos="1440"/>
        </w:tabs>
        <w:ind w:left="1440" w:hanging="360"/>
      </w:pPr>
      <w:rPr>
        <w:rFonts w:ascii="Wingdings" w:hAnsi="Wingdings" w:hint="default"/>
      </w:rPr>
    </w:lvl>
    <w:lvl w:ilvl="2" w:tplc="CC5ED528" w:tentative="1">
      <w:start w:val="1"/>
      <w:numFmt w:val="bullet"/>
      <w:lvlText w:val=""/>
      <w:lvlJc w:val="left"/>
      <w:pPr>
        <w:tabs>
          <w:tab w:val="num" w:pos="2160"/>
        </w:tabs>
        <w:ind w:left="2160" w:hanging="360"/>
      </w:pPr>
      <w:rPr>
        <w:rFonts w:ascii="Wingdings" w:hAnsi="Wingdings" w:hint="default"/>
      </w:rPr>
    </w:lvl>
    <w:lvl w:ilvl="3" w:tplc="13D05DBC" w:tentative="1">
      <w:start w:val="1"/>
      <w:numFmt w:val="bullet"/>
      <w:lvlText w:val=""/>
      <w:lvlJc w:val="left"/>
      <w:pPr>
        <w:tabs>
          <w:tab w:val="num" w:pos="2880"/>
        </w:tabs>
        <w:ind w:left="2880" w:hanging="360"/>
      </w:pPr>
      <w:rPr>
        <w:rFonts w:ascii="Wingdings" w:hAnsi="Wingdings" w:hint="default"/>
      </w:rPr>
    </w:lvl>
    <w:lvl w:ilvl="4" w:tplc="588A394A" w:tentative="1">
      <w:start w:val="1"/>
      <w:numFmt w:val="bullet"/>
      <w:lvlText w:val=""/>
      <w:lvlJc w:val="left"/>
      <w:pPr>
        <w:tabs>
          <w:tab w:val="num" w:pos="3600"/>
        </w:tabs>
        <w:ind w:left="3600" w:hanging="360"/>
      </w:pPr>
      <w:rPr>
        <w:rFonts w:ascii="Wingdings" w:hAnsi="Wingdings" w:hint="default"/>
      </w:rPr>
    </w:lvl>
    <w:lvl w:ilvl="5" w:tplc="25EE92B0" w:tentative="1">
      <w:start w:val="1"/>
      <w:numFmt w:val="bullet"/>
      <w:lvlText w:val=""/>
      <w:lvlJc w:val="left"/>
      <w:pPr>
        <w:tabs>
          <w:tab w:val="num" w:pos="4320"/>
        </w:tabs>
        <w:ind w:left="4320" w:hanging="360"/>
      </w:pPr>
      <w:rPr>
        <w:rFonts w:ascii="Wingdings" w:hAnsi="Wingdings" w:hint="default"/>
      </w:rPr>
    </w:lvl>
    <w:lvl w:ilvl="6" w:tplc="071881E8" w:tentative="1">
      <w:start w:val="1"/>
      <w:numFmt w:val="bullet"/>
      <w:lvlText w:val=""/>
      <w:lvlJc w:val="left"/>
      <w:pPr>
        <w:tabs>
          <w:tab w:val="num" w:pos="5040"/>
        </w:tabs>
        <w:ind w:left="5040" w:hanging="360"/>
      </w:pPr>
      <w:rPr>
        <w:rFonts w:ascii="Wingdings" w:hAnsi="Wingdings" w:hint="default"/>
      </w:rPr>
    </w:lvl>
    <w:lvl w:ilvl="7" w:tplc="3F786658" w:tentative="1">
      <w:start w:val="1"/>
      <w:numFmt w:val="bullet"/>
      <w:lvlText w:val=""/>
      <w:lvlJc w:val="left"/>
      <w:pPr>
        <w:tabs>
          <w:tab w:val="num" w:pos="5760"/>
        </w:tabs>
        <w:ind w:left="5760" w:hanging="360"/>
      </w:pPr>
      <w:rPr>
        <w:rFonts w:ascii="Wingdings" w:hAnsi="Wingdings" w:hint="default"/>
      </w:rPr>
    </w:lvl>
    <w:lvl w:ilvl="8" w:tplc="DAE6566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E4827"/>
    <w:multiLevelType w:val="hybridMultilevel"/>
    <w:tmpl w:val="359877FA"/>
    <w:lvl w:ilvl="0" w:tplc="127A29CC">
      <w:start w:val="1"/>
      <w:numFmt w:val="lowerLetter"/>
      <w:pStyle w:val="FDCNumber"/>
      <w:lvlText w:val="%1."/>
      <w:lvlJc w:val="left"/>
      <w:pPr>
        <w:tabs>
          <w:tab w:val="num" w:pos="1513"/>
        </w:tabs>
        <w:ind w:left="1712" w:hanging="567"/>
      </w:pPr>
      <w:rPr>
        <w:rFonts w:ascii="Bookman Old Style" w:eastAsia="Times New Roman" w:hAnsi="Bookman Old Style" w:cs="Times New Roman"/>
        <w:sz w:val="24"/>
        <w:szCs w:val="24"/>
      </w:rPr>
    </w:lvl>
    <w:lvl w:ilvl="1" w:tplc="08090003" w:tentative="1">
      <w:start w:val="1"/>
      <w:numFmt w:val="bullet"/>
      <w:lvlText w:val="o"/>
      <w:lvlJc w:val="left"/>
      <w:pPr>
        <w:tabs>
          <w:tab w:val="num" w:pos="2528"/>
        </w:tabs>
        <w:ind w:left="2528" w:hanging="360"/>
      </w:pPr>
      <w:rPr>
        <w:rFonts w:ascii="Courier New" w:hAnsi="Courier New" w:cs="Courier New" w:hint="default"/>
      </w:rPr>
    </w:lvl>
    <w:lvl w:ilvl="2" w:tplc="08090005" w:tentative="1">
      <w:start w:val="1"/>
      <w:numFmt w:val="bullet"/>
      <w:lvlText w:val=""/>
      <w:lvlJc w:val="left"/>
      <w:pPr>
        <w:tabs>
          <w:tab w:val="num" w:pos="3248"/>
        </w:tabs>
        <w:ind w:left="3248" w:hanging="360"/>
      </w:pPr>
      <w:rPr>
        <w:rFonts w:ascii="Wingdings" w:hAnsi="Wingdings" w:hint="default"/>
      </w:rPr>
    </w:lvl>
    <w:lvl w:ilvl="3" w:tplc="08090001" w:tentative="1">
      <w:start w:val="1"/>
      <w:numFmt w:val="bullet"/>
      <w:lvlText w:val=""/>
      <w:lvlJc w:val="left"/>
      <w:pPr>
        <w:tabs>
          <w:tab w:val="num" w:pos="3968"/>
        </w:tabs>
        <w:ind w:left="3968" w:hanging="360"/>
      </w:pPr>
      <w:rPr>
        <w:rFonts w:ascii="Symbol" w:hAnsi="Symbol" w:hint="default"/>
      </w:rPr>
    </w:lvl>
    <w:lvl w:ilvl="4" w:tplc="08090003" w:tentative="1">
      <w:start w:val="1"/>
      <w:numFmt w:val="bullet"/>
      <w:lvlText w:val="o"/>
      <w:lvlJc w:val="left"/>
      <w:pPr>
        <w:tabs>
          <w:tab w:val="num" w:pos="4688"/>
        </w:tabs>
        <w:ind w:left="4688" w:hanging="360"/>
      </w:pPr>
      <w:rPr>
        <w:rFonts w:ascii="Courier New" w:hAnsi="Courier New" w:cs="Courier New" w:hint="default"/>
      </w:rPr>
    </w:lvl>
    <w:lvl w:ilvl="5" w:tplc="08090005" w:tentative="1">
      <w:start w:val="1"/>
      <w:numFmt w:val="bullet"/>
      <w:lvlText w:val=""/>
      <w:lvlJc w:val="left"/>
      <w:pPr>
        <w:tabs>
          <w:tab w:val="num" w:pos="5408"/>
        </w:tabs>
        <w:ind w:left="5408" w:hanging="360"/>
      </w:pPr>
      <w:rPr>
        <w:rFonts w:ascii="Wingdings" w:hAnsi="Wingdings" w:hint="default"/>
      </w:rPr>
    </w:lvl>
    <w:lvl w:ilvl="6" w:tplc="08090001" w:tentative="1">
      <w:start w:val="1"/>
      <w:numFmt w:val="bullet"/>
      <w:lvlText w:val=""/>
      <w:lvlJc w:val="left"/>
      <w:pPr>
        <w:tabs>
          <w:tab w:val="num" w:pos="6128"/>
        </w:tabs>
        <w:ind w:left="6128" w:hanging="360"/>
      </w:pPr>
      <w:rPr>
        <w:rFonts w:ascii="Symbol" w:hAnsi="Symbol" w:hint="default"/>
      </w:rPr>
    </w:lvl>
    <w:lvl w:ilvl="7" w:tplc="08090003" w:tentative="1">
      <w:start w:val="1"/>
      <w:numFmt w:val="bullet"/>
      <w:lvlText w:val="o"/>
      <w:lvlJc w:val="left"/>
      <w:pPr>
        <w:tabs>
          <w:tab w:val="num" w:pos="6848"/>
        </w:tabs>
        <w:ind w:left="6848" w:hanging="360"/>
      </w:pPr>
      <w:rPr>
        <w:rFonts w:ascii="Courier New" w:hAnsi="Courier New" w:cs="Courier New" w:hint="default"/>
      </w:rPr>
    </w:lvl>
    <w:lvl w:ilvl="8" w:tplc="08090005" w:tentative="1">
      <w:start w:val="1"/>
      <w:numFmt w:val="bullet"/>
      <w:lvlText w:val=""/>
      <w:lvlJc w:val="left"/>
      <w:pPr>
        <w:tabs>
          <w:tab w:val="num" w:pos="7568"/>
        </w:tabs>
        <w:ind w:left="7568" w:hanging="360"/>
      </w:pPr>
      <w:rPr>
        <w:rFonts w:ascii="Wingdings" w:hAnsi="Wingdings" w:hint="default"/>
      </w:rPr>
    </w:lvl>
  </w:abstractNum>
  <w:abstractNum w:abstractNumId="25" w15:restartNumberingAfterBreak="0">
    <w:nsid w:val="645C7284"/>
    <w:multiLevelType w:val="hybridMultilevel"/>
    <w:tmpl w:val="ED683ED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66BB5239"/>
    <w:multiLevelType w:val="hybridMultilevel"/>
    <w:tmpl w:val="37D07382"/>
    <w:lvl w:ilvl="0" w:tplc="1409000F">
      <w:start w:val="1"/>
      <w:numFmt w:val="decimal"/>
      <w:lvlText w:val="%1."/>
      <w:lvlJc w:val="lef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27" w15:restartNumberingAfterBreak="0">
    <w:nsid w:val="676A289B"/>
    <w:multiLevelType w:val="hybridMultilevel"/>
    <w:tmpl w:val="D862BF9C"/>
    <w:lvl w:ilvl="0" w:tplc="14090001">
      <w:start w:val="1"/>
      <w:numFmt w:val="bullet"/>
      <w:lvlText w:val=""/>
      <w:lvlJc w:val="left"/>
      <w:pPr>
        <w:ind w:left="991" w:hanging="360"/>
      </w:pPr>
      <w:rPr>
        <w:rFonts w:ascii="Symbol" w:hAnsi="Symbol" w:hint="default"/>
      </w:rPr>
    </w:lvl>
    <w:lvl w:ilvl="1" w:tplc="14090003" w:tentative="1">
      <w:start w:val="1"/>
      <w:numFmt w:val="bullet"/>
      <w:lvlText w:val="o"/>
      <w:lvlJc w:val="left"/>
      <w:pPr>
        <w:ind w:left="1711" w:hanging="360"/>
      </w:pPr>
      <w:rPr>
        <w:rFonts w:ascii="Courier New" w:hAnsi="Courier New" w:cs="Courier New" w:hint="default"/>
      </w:rPr>
    </w:lvl>
    <w:lvl w:ilvl="2" w:tplc="14090005" w:tentative="1">
      <w:start w:val="1"/>
      <w:numFmt w:val="bullet"/>
      <w:lvlText w:val=""/>
      <w:lvlJc w:val="left"/>
      <w:pPr>
        <w:ind w:left="2431" w:hanging="360"/>
      </w:pPr>
      <w:rPr>
        <w:rFonts w:ascii="Wingdings" w:hAnsi="Wingdings" w:hint="default"/>
      </w:rPr>
    </w:lvl>
    <w:lvl w:ilvl="3" w:tplc="14090001" w:tentative="1">
      <w:start w:val="1"/>
      <w:numFmt w:val="bullet"/>
      <w:lvlText w:val=""/>
      <w:lvlJc w:val="left"/>
      <w:pPr>
        <w:ind w:left="3151" w:hanging="360"/>
      </w:pPr>
      <w:rPr>
        <w:rFonts w:ascii="Symbol" w:hAnsi="Symbol" w:hint="default"/>
      </w:rPr>
    </w:lvl>
    <w:lvl w:ilvl="4" w:tplc="14090003" w:tentative="1">
      <w:start w:val="1"/>
      <w:numFmt w:val="bullet"/>
      <w:lvlText w:val="o"/>
      <w:lvlJc w:val="left"/>
      <w:pPr>
        <w:ind w:left="3871" w:hanging="360"/>
      </w:pPr>
      <w:rPr>
        <w:rFonts w:ascii="Courier New" w:hAnsi="Courier New" w:cs="Courier New" w:hint="default"/>
      </w:rPr>
    </w:lvl>
    <w:lvl w:ilvl="5" w:tplc="14090005" w:tentative="1">
      <w:start w:val="1"/>
      <w:numFmt w:val="bullet"/>
      <w:lvlText w:val=""/>
      <w:lvlJc w:val="left"/>
      <w:pPr>
        <w:ind w:left="4591" w:hanging="360"/>
      </w:pPr>
      <w:rPr>
        <w:rFonts w:ascii="Wingdings" w:hAnsi="Wingdings" w:hint="default"/>
      </w:rPr>
    </w:lvl>
    <w:lvl w:ilvl="6" w:tplc="14090001" w:tentative="1">
      <w:start w:val="1"/>
      <w:numFmt w:val="bullet"/>
      <w:lvlText w:val=""/>
      <w:lvlJc w:val="left"/>
      <w:pPr>
        <w:ind w:left="5311" w:hanging="360"/>
      </w:pPr>
      <w:rPr>
        <w:rFonts w:ascii="Symbol" w:hAnsi="Symbol" w:hint="default"/>
      </w:rPr>
    </w:lvl>
    <w:lvl w:ilvl="7" w:tplc="14090003" w:tentative="1">
      <w:start w:val="1"/>
      <w:numFmt w:val="bullet"/>
      <w:lvlText w:val="o"/>
      <w:lvlJc w:val="left"/>
      <w:pPr>
        <w:ind w:left="6031" w:hanging="360"/>
      </w:pPr>
      <w:rPr>
        <w:rFonts w:ascii="Courier New" w:hAnsi="Courier New" w:cs="Courier New" w:hint="default"/>
      </w:rPr>
    </w:lvl>
    <w:lvl w:ilvl="8" w:tplc="14090005" w:tentative="1">
      <w:start w:val="1"/>
      <w:numFmt w:val="bullet"/>
      <w:lvlText w:val=""/>
      <w:lvlJc w:val="left"/>
      <w:pPr>
        <w:ind w:left="6751" w:hanging="360"/>
      </w:pPr>
      <w:rPr>
        <w:rFonts w:ascii="Wingdings" w:hAnsi="Wingdings" w:hint="default"/>
      </w:rPr>
    </w:lvl>
  </w:abstractNum>
  <w:abstractNum w:abstractNumId="28" w15:restartNumberingAfterBreak="0">
    <w:nsid w:val="6BD81D56"/>
    <w:multiLevelType w:val="hybridMultilevel"/>
    <w:tmpl w:val="2054AE2A"/>
    <w:lvl w:ilvl="0" w:tplc="14090001">
      <w:start w:val="1"/>
      <w:numFmt w:val="bullet"/>
      <w:lvlText w:val=""/>
      <w:lvlJc w:val="left"/>
      <w:pPr>
        <w:ind w:left="792" w:hanging="360"/>
      </w:pPr>
      <w:rPr>
        <w:rFonts w:ascii="Symbol" w:hAnsi="Symbol" w:hint="default"/>
      </w:rPr>
    </w:lvl>
    <w:lvl w:ilvl="1" w:tplc="14090003" w:tentative="1">
      <w:start w:val="1"/>
      <w:numFmt w:val="bullet"/>
      <w:lvlText w:val="o"/>
      <w:lvlJc w:val="left"/>
      <w:pPr>
        <w:ind w:left="1512" w:hanging="360"/>
      </w:pPr>
      <w:rPr>
        <w:rFonts w:ascii="Courier New" w:hAnsi="Courier New" w:cs="Courier New" w:hint="default"/>
      </w:rPr>
    </w:lvl>
    <w:lvl w:ilvl="2" w:tplc="14090005" w:tentative="1">
      <w:start w:val="1"/>
      <w:numFmt w:val="bullet"/>
      <w:lvlText w:val=""/>
      <w:lvlJc w:val="left"/>
      <w:pPr>
        <w:ind w:left="2232" w:hanging="360"/>
      </w:pPr>
      <w:rPr>
        <w:rFonts w:ascii="Wingdings" w:hAnsi="Wingdings" w:hint="default"/>
      </w:rPr>
    </w:lvl>
    <w:lvl w:ilvl="3" w:tplc="14090001" w:tentative="1">
      <w:start w:val="1"/>
      <w:numFmt w:val="bullet"/>
      <w:lvlText w:val=""/>
      <w:lvlJc w:val="left"/>
      <w:pPr>
        <w:ind w:left="2952" w:hanging="360"/>
      </w:pPr>
      <w:rPr>
        <w:rFonts w:ascii="Symbol" w:hAnsi="Symbol" w:hint="default"/>
      </w:rPr>
    </w:lvl>
    <w:lvl w:ilvl="4" w:tplc="14090003" w:tentative="1">
      <w:start w:val="1"/>
      <w:numFmt w:val="bullet"/>
      <w:lvlText w:val="o"/>
      <w:lvlJc w:val="left"/>
      <w:pPr>
        <w:ind w:left="3672" w:hanging="360"/>
      </w:pPr>
      <w:rPr>
        <w:rFonts w:ascii="Courier New" w:hAnsi="Courier New" w:cs="Courier New" w:hint="default"/>
      </w:rPr>
    </w:lvl>
    <w:lvl w:ilvl="5" w:tplc="14090005" w:tentative="1">
      <w:start w:val="1"/>
      <w:numFmt w:val="bullet"/>
      <w:lvlText w:val=""/>
      <w:lvlJc w:val="left"/>
      <w:pPr>
        <w:ind w:left="4392" w:hanging="360"/>
      </w:pPr>
      <w:rPr>
        <w:rFonts w:ascii="Wingdings" w:hAnsi="Wingdings" w:hint="default"/>
      </w:rPr>
    </w:lvl>
    <w:lvl w:ilvl="6" w:tplc="14090001" w:tentative="1">
      <w:start w:val="1"/>
      <w:numFmt w:val="bullet"/>
      <w:lvlText w:val=""/>
      <w:lvlJc w:val="left"/>
      <w:pPr>
        <w:ind w:left="5112" w:hanging="360"/>
      </w:pPr>
      <w:rPr>
        <w:rFonts w:ascii="Symbol" w:hAnsi="Symbol" w:hint="default"/>
      </w:rPr>
    </w:lvl>
    <w:lvl w:ilvl="7" w:tplc="14090003" w:tentative="1">
      <w:start w:val="1"/>
      <w:numFmt w:val="bullet"/>
      <w:lvlText w:val="o"/>
      <w:lvlJc w:val="left"/>
      <w:pPr>
        <w:ind w:left="5832" w:hanging="360"/>
      </w:pPr>
      <w:rPr>
        <w:rFonts w:ascii="Courier New" w:hAnsi="Courier New" w:cs="Courier New" w:hint="default"/>
      </w:rPr>
    </w:lvl>
    <w:lvl w:ilvl="8" w:tplc="14090005" w:tentative="1">
      <w:start w:val="1"/>
      <w:numFmt w:val="bullet"/>
      <w:lvlText w:val=""/>
      <w:lvlJc w:val="left"/>
      <w:pPr>
        <w:ind w:left="6552" w:hanging="360"/>
      </w:pPr>
      <w:rPr>
        <w:rFonts w:ascii="Wingdings" w:hAnsi="Wingdings" w:hint="default"/>
      </w:rPr>
    </w:lvl>
  </w:abstractNum>
  <w:abstractNum w:abstractNumId="29" w15:restartNumberingAfterBreak="0">
    <w:nsid w:val="73C40436"/>
    <w:multiLevelType w:val="hybridMultilevel"/>
    <w:tmpl w:val="9650262E"/>
    <w:lvl w:ilvl="0" w:tplc="14090001">
      <w:start w:val="1"/>
      <w:numFmt w:val="bullet"/>
      <w:lvlText w:val=""/>
      <w:lvlJc w:val="left"/>
      <w:pPr>
        <w:ind w:left="991" w:hanging="360"/>
      </w:pPr>
      <w:rPr>
        <w:rFonts w:ascii="Symbol" w:hAnsi="Symbol" w:hint="default"/>
      </w:rPr>
    </w:lvl>
    <w:lvl w:ilvl="1" w:tplc="14090003" w:tentative="1">
      <w:start w:val="1"/>
      <w:numFmt w:val="bullet"/>
      <w:lvlText w:val="o"/>
      <w:lvlJc w:val="left"/>
      <w:pPr>
        <w:ind w:left="1711" w:hanging="360"/>
      </w:pPr>
      <w:rPr>
        <w:rFonts w:ascii="Courier New" w:hAnsi="Courier New" w:cs="Courier New" w:hint="default"/>
      </w:rPr>
    </w:lvl>
    <w:lvl w:ilvl="2" w:tplc="14090005" w:tentative="1">
      <w:start w:val="1"/>
      <w:numFmt w:val="bullet"/>
      <w:lvlText w:val=""/>
      <w:lvlJc w:val="left"/>
      <w:pPr>
        <w:ind w:left="2431" w:hanging="360"/>
      </w:pPr>
      <w:rPr>
        <w:rFonts w:ascii="Wingdings" w:hAnsi="Wingdings" w:hint="default"/>
      </w:rPr>
    </w:lvl>
    <w:lvl w:ilvl="3" w:tplc="14090001" w:tentative="1">
      <w:start w:val="1"/>
      <w:numFmt w:val="bullet"/>
      <w:lvlText w:val=""/>
      <w:lvlJc w:val="left"/>
      <w:pPr>
        <w:ind w:left="3151" w:hanging="360"/>
      </w:pPr>
      <w:rPr>
        <w:rFonts w:ascii="Symbol" w:hAnsi="Symbol" w:hint="default"/>
      </w:rPr>
    </w:lvl>
    <w:lvl w:ilvl="4" w:tplc="14090003" w:tentative="1">
      <w:start w:val="1"/>
      <w:numFmt w:val="bullet"/>
      <w:lvlText w:val="o"/>
      <w:lvlJc w:val="left"/>
      <w:pPr>
        <w:ind w:left="3871" w:hanging="360"/>
      </w:pPr>
      <w:rPr>
        <w:rFonts w:ascii="Courier New" w:hAnsi="Courier New" w:cs="Courier New" w:hint="default"/>
      </w:rPr>
    </w:lvl>
    <w:lvl w:ilvl="5" w:tplc="14090005" w:tentative="1">
      <w:start w:val="1"/>
      <w:numFmt w:val="bullet"/>
      <w:lvlText w:val=""/>
      <w:lvlJc w:val="left"/>
      <w:pPr>
        <w:ind w:left="4591" w:hanging="360"/>
      </w:pPr>
      <w:rPr>
        <w:rFonts w:ascii="Wingdings" w:hAnsi="Wingdings" w:hint="default"/>
      </w:rPr>
    </w:lvl>
    <w:lvl w:ilvl="6" w:tplc="14090001" w:tentative="1">
      <w:start w:val="1"/>
      <w:numFmt w:val="bullet"/>
      <w:lvlText w:val=""/>
      <w:lvlJc w:val="left"/>
      <w:pPr>
        <w:ind w:left="5311" w:hanging="360"/>
      </w:pPr>
      <w:rPr>
        <w:rFonts w:ascii="Symbol" w:hAnsi="Symbol" w:hint="default"/>
      </w:rPr>
    </w:lvl>
    <w:lvl w:ilvl="7" w:tplc="14090003" w:tentative="1">
      <w:start w:val="1"/>
      <w:numFmt w:val="bullet"/>
      <w:lvlText w:val="o"/>
      <w:lvlJc w:val="left"/>
      <w:pPr>
        <w:ind w:left="6031" w:hanging="360"/>
      </w:pPr>
      <w:rPr>
        <w:rFonts w:ascii="Courier New" w:hAnsi="Courier New" w:cs="Courier New" w:hint="default"/>
      </w:rPr>
    </w:lvl>
    <w:lvl w:ilvl="8" w:tplc="14090005" w:tentative="1">
      <w:start w:val="1"/>
      <w:numFmt w:val="bullet"/>
      <w:lvlText w:val=""/>
      <w:lvlJc w:val="left"/>
      <w:pPr>
        <w:ind w:left="6751" w:hanging="360"/>
      </w:pPr>
      <w:rPr>
        <w:rFonts w:ascii="Wingdings" w:hAnsi="Wingdings" w:hint="default"/>
      </w:rPr>
    </w:lvl>
  </w:abstractNum>
  <w:abstractNum w:abstractNumId="30" w15:restartNumberingAfterBreak="0">
    <w:nsid w:val="77FC5C6D"/>
    <w:multiLevelType w:val="hybridMultilevel"/>
    <w:tmpl w:val="CF7099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9444790">
    <w:abstractNumId w:val="2"/>
  </w:num>
  <w:num w:numId="2" w16cid:durableId="416437490">
    <w:abstractNumId w:val="8"/>
  </w:num>
  <w:num w:numId="3" w16cid:durableId="2066829429">
    <w:abstractNumId w:val="14"/>
  </w:num>
  <w:num w:numId="4" w16cid:durableId="971328920">
    <w:abstractNumId w:val="5"/>
  </w:num>
  <w:num w:numId="5" w16cid:durableId="330763988">
    <w:abstractNumId w:val="24"/>
  </w:num>
  <w:num w:numId="6" w16cid:durableId="822311464">
    <w:abstractNumId w:val="6"/>
  </w:num>
  <w:num w:numId="7" w16cid:durableId="1752584073">
    <w:abstractNumId w:val="9"/>
  </w:num>
  <w:num w:numId="8" w16cid:durableId="1178038029">
    <w:abstractNumId w:val="0"/>
  </w:num>
  <w:num w:numId="9" w16cid:durableId="1852798456">
    <w:abstractNumId w:val="11"/>
  </w:num>
  <w:num w:numId="10" w16cid:durableId="336467843">
    <w:abstractNumId w:val="15"/>
  </w:num>
  <w:num w:numId="11" w16cid:durableId="1780181754">
    <w:abstractNumId w:val="28"/>
  </w:num>
  <w:num w:numId="12" w16cid:durableId="1122505128">
    <w:abstractNumId w:val="1"/>
  </w:num>
  <w:num w:numId="13" w16cid:durableId="67459699">
    <w:abstractNumId w:val="18"/>
  </w:num>
  <w:num w:numId="14" w16cid:durableId="1146432667">
    <w:abstractNumId w:val="27"/>
  </w:num>
  <w:num w:numId="15" w16cid:durableId="695041461">
    <w:abstractNumId w:val="19"/>
  </w:num>
  <w:num w:numId="16" w16cid:durableId="2133203624">
    <w:abstractNumId w:val="26"/>
  </w:num>
  <w:num w:numId="17" w16cid:durableId="59403439">
    <w:abstractNumId w:val="2"/>
  </w:num>
  <w:num w:numId="18" w16cid:durableId="1911885492">
    <w:abstractNumId w:val="13"/>
  </w:num>
  <w:num w:numId="19" w16cid:durableId="208536288">
    <w:abstractNumId w:val="29"/>
  </w:num>
  <w:num w:numId="20" w16cid:durableId="1036078257">
    <w:abstractNumId w:val="21"/>
  </w:num>
  <w:num w:numId="21" w16cid:durableId="625042572">
    <w:abstractNumId w:val="7"/>
  </w:num>
  <w:num w:numId="22" w16cid:durableId="1012877850">
    <w:abstractNumId w:val="3"/>
  </w:num>
  <w:num w:numId="23" w16cid:durableId="2007442148">
    <w:abstractNumId w:val="12"/>
  </w:num>
  <w:num w:numId="24" w16cid:durableId="492573404">
    <w:abstractNumId w:val="20"/>
  </w:num>
  <w:num w:numId="25" w16cid:durableId="1650359085">
    <w:abstractNumId w:val="10"/>
  </w:num>
  <w:num w:numId="26" w16cid:durableId="2120448216">
    <w:abstractNumId w:val="17"/>
  </w:num>
  <w:num w:numId="27" w16cid:durableId="390661368">
    <w:abstractNumId w:val="23"/>
  </w:num>
  <w:num w:numId="28" w16cid:durableId="919752401">
    <w:abstractNumId w:val="30"/>
  </w:num>
  <w:num w:numId="29" w16cid:durableId="1755661732">
    <w:abstractNumId w:val="4"/>
  </w:num>
  <w:num w:numId="30" w16cid:durableId="758597774">
    <w:abstractNumId w:val="22"/>
  </w:num>
  <w:num w:numId="31" w16cid:durableId="405566373">
    <w:abstractNumId w:val="25"/>
  </w:num>
  <w:num w:numId="32" w16cid:durableId="8230052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BodyText" w:val=" 1"/>
    <w:docVar w:name="fListStyle" w:val=" 2"/>
  </w:docVars>
  <w:rsids>
    <w:rsidRoot w:val="00BD7F27"/>
    <w:rsid w:val="00005DDD"/>
    <w:rsid w:val="00006EF6"/>
    <w:rsid w:val="00012664"/>
    <w:rsid w:val="000132CA"/>
    <w:rsid w:val="00015F55"/>
    <w:rsid w:val="00017844"/>
    <w:rsid w:val="00023D94"/>
    <w:rsid w:val="00027F70"/>
    <w:rsid w:val="00034020"/>
    <w:rsid w:val="000351E9"/>
    <w:rsid w:val="0004230B"/>
    <w:rsid w:val="00042AEE"/>
    <w:rsid w:val="00045CD5"/>
    <w:rsid w:val="000555AD"/>
    <w:rsid w:val="00061CC1"/>
    <w:rsid w:val="00070BDA"/>
    <w:rsid w:val="000760CE"/>
    <w:rsid w:val="00077285"/>
    <w:rsid w:val="000773C2"/>
    <w:rsid w:val="000806CC"/>
    <w:rsid w:val="00081EED"/>
    <w:rsid w:val="00091618"/>
    <w:rsid w:val="0009423E"/>
    <w:rsid w:val="000961E5"/>
    <w:rsid w:val="00096E88"/>
    <w:rsid w:val="00097DDA"/>
    <w:rsid w:val="000A0122"/>
    <w:rsid w:val="000A453C"/>
    <w:rsid w:val="000B2446"/>
    <w:rsid w:val="000B276D"/>
    <w:rsid w:val="000C2B27"/>
    <w:rsid w:val="000C3454"/>
    <w:rsid w:val="000C4FCA"/>
    <w:rsid w:val="000C68C9"/>
    <w:rsid w:val="000C6991"/>
    <w:rsid w:val="000D71AE"/>
    <w:rsid w:val="000E0635"/>
    <w:rsid w:val="000E13DE"/>
    <w:rsid w:val="000E1435"/>
    <w:rsid w:val="000E23A5"/>
    <w:rsid w:val="000E2B23"/>
    <w:rsid w:val="000E4E00"/>
    <w:rsid w:val="000E6689"/>
    <w:rsid w:val="000F5832"/>
    <w:rsid w:val="001020B9"/>
    <w:rsid w:val="00102CB7"/>
    <w:rsid w:val="00106986"/>
    <w:rsid w:val="00112340"/>
    <w:rsid w:val="001168FE"/>
    <w:rsid w:val="0011787F"/>
    <w:rsid w:val="00117AC6"/>
    <w:rsid w:val="00120A8D"/>
    <w:rsid w:val="00121735"/>
    <w:rsid w:val="00122492"/>
    <w:rsid w:val="0012493A"/>
    <w:rsid w:val="00127A2B"/>
    <w:rsid w:val="00127F65"/>
    <w:rsid w:val="0013559E"/>
    <w:rsid w:val="00136480"/>
    <w:rsid w:val="00137475"/>
    <w:rsid w:val="00137AEB"/>
    <w:rsid w:val="00140E41"/>
    <w:rsid w:val="00143566"/>
    <w:rsid w:val="00144DC7"/>
    <w:rsid w:val="00145D8A"/>
    <w:rsid w:val="00155966"/>
    <w:rsid w:val="00157097"/>
    <w:rsid w:val="001602D9"/>
    <w:rsid w:val="00161C3A"/>
    <w:rsid w:val="00162889"/>
    <w:rsid w:val="00166A0A"/>
    <w:rsid w:val="00170616"/>
    <w:rsid w:val="00170EBB"/>
    <w:rsid w:val="00174598"/>
    <w:rsid w:val="001829AB"/>
    <w:rsid w:val="00185923"/>
    <w:rsid w:val="00185EEE"/>
    <w:rsid w:val="00186B3E"/>
    <w:rsid w:val="001942B5"/>
    <w:rsid w:val="00196829"/>
    <w:rsid w:val="0019756B"/>
    <w:rsid w:val="00197D4C"/>
    <w:rsid w:val="001A4AFA"/>
    <w:rsid w:val="001B0553"/>
    <w:rsid w:val="001B0FD0"/>
    <w:rsid w:val="001B36F2"/>
    <w:rsid w:val="001B4203"/>
    <w:rsid w:val="001B537A"/>
    <w:rsid w:val="001B5710"/>
    <w:rsid w:val="001B6263"/>
    <w:rsid w:val="001C2BDB"/>
    <w:rsid w:val="001C2C03"/>
    <w:rsid w:val="001C577E"/>
    <w:rsid w:val="001C6DA7"/>
    <w:rsid w:val="001C7752"/>
    <w:rsid w:val="001C78EF"/>
    <w:rsid w:val="001D37AB"/>
    <w:rsid w:val="001D67F3"/>
    <w:rsid w:val="001D7B70"/>
    <w:rsid w:val="001E0F5F"/>
    <w:rsid w:val="001E4E1A"/>
    <w:rsid w:val="001E56C9"/>
    <w:rsid w:val="001E78AA"/>
    <w:rsid w:val="001F0235"/>
    <w:rsid w:val="001F1AA3"/>
    <w:rsid w:val="001F1F42"/>
    <w:rsid w:val="001F32A8"/>
    <w:rsid w:val="001F4FB6"/>
    <w:rsid w:val="001F76C7"/>
    <w:rsid w:val="00201540"/>
    <w:rsid w:val="00210782"/>
    <w:rsid w:val="00212BEF"/>
    <w:rsid w:val="00215A9C"/>
    <w:rsid w:val="00216521"/>
    <w:rsid w:val="00220DD2"/>
    <w:rsid w:val="00220EFE"/>
    <w:rsid w:val="002220CB"/>
    <w:rsid w:val="00227466"/>
    <w:rsid w:val="0023003A"/>
    <w:rsid w:val="00230EF0"/>
    <w:rsid w:val="00232571"/>
    <w:rsid w:val="002352F3"/>
    <w:rsid w:val="00236A7B"/>
    <w:rsid w:val="00240E22"/>
    <w:rsid w:val="002459D5"/>
    <w:rsid w:val="00245E72"/>
    <w:rsid w:val="002465DF"/>
    <w:rsid w:val="00251358"/>
    <w:rsid w:val="00253D13"/>
    <w:rsid w:val="00263CE6"/>
    <w:rsid w:val="0026601F"/>
    <w:rsid w:val="00274F3D"/>
    <w:rsid w:val="00277281"/>
    <w:rsid w:val="00281F6B"/>
    <w:rsid w:val="0028595F"/>
    <w:rsid w:val="00287744"/>
    <w:rsid w:val="00290F9E"/>
    <w:rsid w:val="00292697"/>
    <w:rsid w:val="002932B6"/>
    <w:rsid w:val="00293302"/>
    <w:rsid w:val="002A2286"/>
    <w:rsid w:val="002A3A04"/>
    <w:rsid w:val="002A418E"/>
    <w:rsid w:val="002A5AB5"/>
    <w:rsid w:val="002A75E6"/>
    <w:rsid w:val="002C1367"/>
    <w:rsid w:val="002C3A63"/>
    <w:rsid w:val="002C6033"/>
    <w:rsid w:val="002C7932"/>
    <w:rsid w:val="002C7D8B"/>
    <w:rsid w:val="002D185C"/>
    <w:rsid w:val="002E1378"/>
    <w:rsid w:val="002E1B15"/>
    <w:rsid w:val="002E1D28"/>
    <w:rsid w:val="002E2B06"/>
    <w:rsid w:val="002E43BD"/>
    <w:rsid w:val="002E7045"/>
    <w:rsid w:val="002F11D9"/>
    <w:rsid w:val="002F1704"/>
    <w:rsid w:val="002F220E"/>
    <w:rsid w:val="002F4B8E"/>
    <w:rsid w:val="00302219"/>
    <w:rsid w:val="00302F66"/>
    <w:rsid w:val="00303260"/>
    <w:rsid w:val="00306889"/>
    <w:rsid w:val="0031003E"/>
    <w:rsid w:val="00310D0F"/>
    <w:rsid w:val="003112F2"/>
    <w:rsid w:val="00313052"/>
    <w:rsid w:val="00313192"/>
    <w:rsid w:val="0031391E"/>
    <w:rsid w:val="00324A2F"/>
    <w:rsid w:val="00326CA3"/>
    <w:rsid w:val="00331148"/>
    <w:rsid w:val="00331978"/>
    <w:rsid w:val="0033257D"/>
    <w:rsid w:val="00333DA7"/>
    <w:rsid w:val="003441CC"/>
    <w:rsid w:val="0034601D"/>
    <w:rsid w:val="003476C2"/>
    <w:rsid w:val="0035014A"/>
    <w:rsid w:val="003508FC"/>
    <w:rsid w:val="00352580"/>
    <w:rsid w:val="00356D51"/>
    <w:rsid w:val="00357ED7"/>
    <w:rsid w:val="003625DA"/>
    <w:rsid w:val="00365540"/>
    <w:rsid w:val="00366C24"/>
    <w:rsid w:val="00367871"/>
    <w:rsid w:val="00373D64"/>
    <w:rsid w:val="00375F5B"/>
    <w:rsid w:val="00377319"/>
    <w:rsid w:val="0037745D"/>
    <w:rsid w:val="0038072E"/>
    <w:rsid w:val="00386833"/>
    <w:rsid w:val="00392D00"/>
    <w:rsid w:val="00394419"/>
    <w:rsid w:val="003A2183"/>
    <w:rsid w:val="003A283E"/>
    <w:rsid w:val="003A2E3B"/>
    <w:rsid w:val="003A2F23"/>
    <w:rsid w:val="003A3541"/>
    <w:rsid w:val="003B2479"/>
    <w:rsid w:val="003B2AD7"/>
    <w:rsid w:val="003B31F8"/>
    <w:rsid w:val="003B4894"/>
    <w:rsid w:val="003C1AA6"/>
    <w:rsid w:val="003C4261"/>
    <w:rsid w:val="003C5503"/>
    <w:rsid w:val="003C5956"/>
    <w:rsid w:val="003C6319"/>
    <w:rsid w:val="003D181B"/>
    <w:rsid w:val="003D2815"/>
    <w:rsid w:val="003D2988"/>
    <w:rsid w:val="003D38A9"/>
    <w:rsid w:val="003D3AFA"/>
    <w:rsid w:val="003E02B7"/>
    <w:rsid w:val="003E344B"/>
    <w:rsid w:val="003E4F86"/>
    <w:rsid w:val="003E75AD"/>
    <w:rsid w:val="003F5595"/>
    <w:rsid w:val="003F560D"/>
    <w:rsid w:val="003F61AA"/>
    <w:rsid w:val="004120DB"/>
    <w:rsid w:val="00412996"/>
    <w:rsid w:val="00415AB2"/>
    <w:rsid w:val="00415E36"/>
    <w:rsid w:val="0041684F"/>
    <w:rsid w:val="00421C9A"/>
    <w:rsid w:val="00424E6A"/>
    <w:rsid w:val="0042504F"/>
    <w:rsid w:val="00430547"/>
    <w:rsid w:val="00431387"/>
    <w:rsid w:val="0044359B"/>
    <w:rsid w:val="0044372B"/>
    <w:rsid w:val="00450369"/>
    <w:rsid w:val="004508C1"/>
    <w:rsid w:val="00454261"/>
    <w:rsid w:val="00455584"/>
    <w:rsid w:val="0045682E"/>
    <w:rsid w:val="00457A77"/>
    <w:rsid w:val="00461B1A"/>
    <w:rsid w:val="004622AB"/>
    <w:rsid w:val="0046382B"/>
    <w:rsid w:val="004642DE"/>
    <w:rsid w:val="00466892"/>
    <w:rsid w:val="00466BB8"/>
    <w:rsid w:val="00466D00"/>
    <w:rsid w:val="004703FC"/>
    <w:rsid w:val="00473485"/>
    <w:rsid w:val="00476D02"/>
    <w:rsid w:val="00476DB1"/>
    <w:rsid w:val="00477A17"/>
    <w:rsid w:val="004814F5"/>
    <w:rsid w:val="00482977"/>
    <w:rsid w:val="00483C76"/>
    <w:rsid w:val="00484130"/>
    <w:rsid w:val="004903D3"/>
    <w:rsid w:val="00491B04"/>
    <w:rsid w:val="0049638C"/>
    <w:rsid w:val="004A6238"/>
    <w:rsid w:val="004B47A6"/>
    <w:rsid w:val="004B7371"/>
    <w:rsid w:val="004C2514"/>
    <w:rsid w:val="004C6181"/>
    <w:rsid w:val="004D4D2A"/>
    <w:rsid w:val="004D57A8"/>
    <w:rsid w:val="004D6078"/>
    <w:rsid w:val="004E1A7A"/>
    <w:rsid w:val="004E2B71"/>
    <w:rsid w:val="004E32BD"/>
    <w:rsid w:val="0050306B"/>
    <w:rsid w:val="0050711C"/>
    <w:rsid w:val="00507F7B"/>
    <w:rsid w:val="0051233D"/>
    <w:rsid w:val="00512CCE"/>
    <w:rsid w:val="00513FBC"/>
    <w:rsid w:val="0052043E"/>
    <w:rsid w:val="005206DD"/>
    <w:rsid w:val="00520838"/>
    <w:rsid w:val="00521230"/>
    <w:rsid w:val="00523C0A"/>
    <w:rsid w:val="00524F89"/>
    <w:rsid w:val="005254F9"/>
    <w:rsid w:val="00526F43"/>
    <w:rsid w:val="00527909"/>
    <w:rsid w:val="00530876"/>
    <w:rsid w:val="00536A5A"/>
    <w:rsid w:val="00541473"/>
    <w:rsid w:val="00554570"/>
    <w:rsid w:val="00554649"/>
    <w:rsid w:val="0055772F"/>
    <w:rsid w:val="00557E27"/>
    <w:rsid w:val="00560C68"/>
    <w:rsid w:val="00560CE2"/>
    <w:rsid w:val="00560E12"/>
    <w:rsid w:val="005702D5"/>
    <w:rsid w:val="00572004"/>
    <w:rsid w:val="00573376"/>
    <w:rsid w:val="00574138"/>
    <w:rsid w:val="0057450A"/>
    <w:rsid w:val="0057506C"/>
    <w:rsid w:val="005821D1"/>
    <w:rsid w:val="00583CDA"/>
    <w:rsid w:val="00584905"/>
    <w:rsid w:val="00586DE0"/>
    <w:rsid w:val="00591083"/>
    <w:rsid w:val="005A018A"/>
    <w:rsid w:val="005A0CB0"/>
    <w:rsid w:val="005B01BA"/>
    <w:rsid w:val="005B0951"/>
    <w:rsid w:val="005B4205"/>
    <w:rsid w:val="005B55B7"/>
    <w:rsid w:val="005B7B5A"/>
    <w:rsid w:val="005C5423"/>
    <w:rsid w:val="005C5A6A"/>
    <w:rsid w:val="005C6943"/>
    <w:rsid w:val="005C6A11"/>
    <w:rsid w:val="005C7A8A"/>
    <w:rsid w:val="005D32C6"/>
    <w:rsid w:val="005D5AFE"/>
    <w:rsid w:val="005E3EFE"/>
    <w:rsid w:val="005E4A6B"/>
    <w:rsid w:val="005F4781"/>
    <w:rsid w:val="005F6968"/>
    <w:rsid w:val="00601751"/>
    <w:rsid w:val="00601C86"/>
    <w:rsid w:val="006037FA"/>
    <w:rsid w:val="006064C6"/>
    <w:rsid w:val="006074EB"/>
    <w:rsid w:val="00607964"/>
    <w:rsid w:val="006119CA"/>
    <w:rsid w:val="0061242C"/>
    <w:rsid w:val="00612D20"/>
    <w:rsid w:val="0061469C"/>
    <w:rsid w:val="00614CB3"/>
    <w:rsid w:val="00615365"/>
    <w:rsid w:val="0062171C"/>
    <w:rsid w:val="00622133"/>
    <w:rsid w:val="0062324D"/>
    <w:rsid w:val="00627F7F"/>
    <w:rsid w:val="00633B88"/>
    <w:rsid w:val="00636118"/>
    <w:rsid w:val="0064481E"/>
    <w:rsid w:val="00646E40"/>
    <w:rsid w:val="0065635C"/>
    <w:rsid w:val="00656513"/>
    <w:rsid w:val="00660110"/>
    <w:rsid w:val="00672758"/>
    <w:rsid w:val="006734B4"/>
    <w:rsid w:val="00673ED8"/>
    <w:rsid w:val="00675E7C"/>
    <w:rsid w:val="0068297E"/>
    <w:rsid w:val="00682CB9"/>
    <w:rsid w:val="00686D3A"/>
    <w:rsid w:val="00694AA2"/>
    <w:rsid w:val="00694D77"/>
    <w:rsid w:val="006A2B35"/>
    <w:rsid w:val="006A4DD0"/>
    <w:rsid w:val="006B2347"/>
    <w:rsid w:val="006B2D9F"/>
    <w:rsid w:val="006B365B"/>
    <w:rsid w:val="006B5AF3"/>
    <w:rsid w:val="006C7576"/>
    <w:rsid w:val="006D0D1E"/>
    <w:rsid w:val="006D22FA"/>
    <w:rsid w:val="006E1D41"/>
    <w:rsid w:val="006E238F"/>
    <w:rsid w:val="006E3B83"/>
    <w:rsid w:val="006F17A6"/>
    <w:rsid w:val="006F3D20"/>
    <w:rsid w:val="007008B0"/>
    <w:rsid w:val="00702D3C"/>
    <w:rsid w:val="007044CF"/>
    <w:rsid w:val="007148E5"/>
    <w:rsid w:val="00721AD1"/>
    <w:rsid w:val="00731093"/>
    <w:rsid w:val="00735F01"/>
    <w:rsid w:val="00741A45"/>
    <w:rsid w:val="00746676"/>
    <w:rsid w:val="00760FC9"/>
    <w:rsid w:val="00762606"/>
    <w:rsid w:val="0076425C"/>
    <w:rsid w:val="00765228"/>
    <w:rsid w:val="00777446"/>
    <w:rsid w:val="00780598"/>
    <w:rsid w:val="00782382"/>
    <w:rsid w:val="00785295"/>
    <w:rsid w:val="00787F83"/>
    <w:rsid w:val="007962ED"/>
    <w:rsid w:val="00796DC1"/>
    <w:rsid w:val="007A0516"/>
    <w:rsid w:val="007A0AA6"/>
    <w:rsid w:val="007A1634"/>
    <w:rsid w:val="007A1696"/>
    <w:rsid w:val="007A2ED2"/>
    <w:rsid w:val="007B198F"/>
    <w:rsid w:val="007B1D91"/>
    <w:rsid w:val="007B28CB"/>
    <w:rsid w:val="007B3E3E"/>
    <w:rsid w:val="007C310C"/>
    <w:rsid w:val="007C5FE3"/>
    <w:rsid w:val="007C7E08"/>
    <w:rsid w:val="007D4F4F"/>
    <w:rsid w:val="007D7053"/>
    <w:rsid w:val="007F6DDD"/>
    <w:rsid w:val="007F7BB0"/>
    <w:rsid w:val="00801243"/>
    <w:rsid w:val="00802C72"/>
    <w:rsid w:val="00803D77"/>
    <w:rsid w:val="00805042"/>
    <w:rsid w:val="00806F85"/>
    <w:rsid w:val="0081029D"/>
    <w:rsid w:val="00820A24"/>
    <w:rsid w:val="00821123"/>
    <w:rsid w:val="0082213B"/>
    <w:rsid w:val="008225D8"/>
    <w:rsid w:val="00831CC7"/>
    <w:rsid w:val="00842438"/>
    <w:rsid w:val="00842917"/>
    <w:rsid w:val="00843AC3"/>
    <w:rsid w:val="008460CC"/>
    <w:rsid w:val="00850F7A"/>
    <w:rsid w:val="00853A43"/>
    <w:rsid w:val="00854DE5"/>
    <w:rsid w:val="00857BD9"/>
    <w:rsid w:val="00860FDC"/>
    <w:rsid w:val="00866E1B"/>
    <w:rsid w:val="00867038"/>
    <w:rsid w:val="00880758"/>
    <w:rsid w:val="00880F30"/>
    <w:rsid w:val="00885496"/>
    <w:rsid w:val="008909D3"/>
    <w:rsid w:val="00891701"/>
    <w:rsid w:val="00894221"/>
    <w:rsid w:val="008953F3"/>
    <w:rsid w:val="0089760D"/>
    <w:rsid w:val="00897CD7"/>
    <w:rsid w:val="008A00B0"/>
    <w:rsid w:val="008A1AF8"/>
    <w:rsid w:val="008B66B9"/>
    <w:rsid w:val="008D1482"/>
    <w:rsid w:val="008D29AC"/>
    <w:rsid w:val="008E040E"/>
    <w:rsid w:val="008E19FC"/>
    <w:rsid w:val="008E1B7B"/>
    <w:rsid w:val="008E2C9D"/>
    <w:rsid w:val="008E63A8"/>
    <w:rsid w:val="008E6645"/>
    <w:rsid w:val="008E766E"/>
    <w:rsid w:val="008F0678"/>
    <w:rsid w:val="008F2F18"/>
    <w:rsid w:val="008F3E50"/>
    <w:rsid w:val="008F63A6"/>
    <w:rsid w:val="008F6E8E"/>
    <w:rsid w:val="0090022D"/>
    <w:rsid w:val="00903940"/>
    <w:rsid w:val="00904BBA"/>
    <w:rsid w:val="00915758"/>
    <w:rsid w:val="00927FB0"/>
    <w:rsid w:val="00930350"/>
    <w:rsid w:val="00931B65"/>
    <w:rsid w:val="00931BC6"/>
    <w:rsid w:val="00932A2F"/>
    <w:rsid w:val="0093471E"/>
    <w:rsid w:val="00936B71"/>
    <w:rsid w:val="00937DE1"/>
    <w:rsid w:val="0094063B"/>
    <w:rsid w:val="00941EE7"/>
    <w:rsid w:val="0094280F"/>
    <w:rsid w:val="00956BCC"/>
    <w:rsid w:val="00956F30"/>
    <w:rsid w:val="0095752E"/>
    <w:rsid w:val="00957751"/>
    <w:rsid w:val="00964974"/>
    <w:rsid w:val="00967EBB"/>
    <w:rsid w:val="00971F3A"/>
    <w:rsid w:val="009745E7"/>
    <w:rsid w:val="00981A2C"/>
    <w:rsid w:val="0098694D"/>
    <w:rsid w:val="00987185"/>
    <w:rsid w:val="009871D4"/>
    <w:rsid w:val="00987CAD"/>
    <w:rsid w:val="009A4A3D"/>
    <w:rsid w:val="009B509F"/>
    <w:rsid w:val="009C0DC6"/>
    <w:rsid w:val="009C38BC"/>
    <w:rsid w:val="009C44B1"/>
    <w:rsid w:val="009C782D"/>
    <w:rsid w:val="009D0C47"/>
    <w:rsid w:val="009E7B5A"/>
    <w:rsid w:val="009F0001"/>
    <w:rsid w:val="009F050A"/>
    <w:rsid w:val="009F0994"/>
    <w:rsid w:val="009F3D13"/>
    <w:rsid w:val="009F4C05"/>
    <w:rsid w:val="009F4F57"/>
    <w:rsid w:val="009F53BA"/>
    <w:rsid w:val="009F6B74"/>
    <w:rsid w:val="00A01709"/>
    <w:rsid w:val="00A01D75"/>
    <w:rsid w:val="00A05FE0"/>
    <w:rsid w:val="00A10CF9"/>
    <w:rsid w:val="00A13F7F"/>
    <w:rsid w:val="00A2020F"/>
    <w:rsid w:val="00A20614"/>
    <w:rsid w:val="00A25388"/>
    <w:rsid w:val="00A264B4"/>
    <w:rsid w:val="00A26954"/>
    <w:rsid w:val="00A27873"/>
    <w:rsid w:val="00A3373A"/>
    <w:rsid w:val="00A34DBF"/>
    <w:rsid w:val="00A404EF"/>
    <w:rsid w:val="00A50D94"/>
    <w:rsid w:val="00A545EA"/>
    <w:rsid w:val="00A55FD9"/>
    <w:rsid w:val="00A720DC"/>
    <w:rsid w:val="00A73FBF"/>
    <w:rsid w:val="00A7729A"/>
    <w:rsid w:val="00A77741"/>
    <w:rsid w:val="00A8357B"/>
    <w:rsid w:val="00A84937"/>
    <w:rsid w:val="00A86CEE"/>
    <w:rsid w:val="00A916A0"/>
    <w:rsid w:val="00A968C8"/>
    <w:rsid w:val="00AA0581"/>
    <w:rsid w:val="00AA1E9D"/>
    <w:rsid w:val="00AA4681"/>
    <w:rsid w:val="00AA56EE"/>
    <w:rsid w:val="00AA6D1F"/>
    <w:rsid w:val="00AB1165"/>
    <w:rsid w:val="00AB3E74"/>
    <w:rsid w:val="00AB43F9"/>
    <w:rsid w:val="00AB482E"/>
    <w:rsid w:val="00AB58A7"/>
    <w:rsid w:val="00AC0ED3"/>
    <w:rsid w:val="00AC1125"/>
    <w:rsid w:val="00AC290C"/>
    <w:rsid w:val="00AC3DE3"/>
    <w:rsid w:val="00AD0E83"/>
    <w:rsid w:val="00AD343E"/>
    <w:rsid w:val="00AD3759"/>
    <w:rsid w:val="00AE1F79"/>
    <w:rsid w:val="00AE7B9A"/>
    <w:rsid w:val="00AE7DDC"/>
    <w:rsid w:val="00AF1421"/>
    <w:rsid w:val="00AF5800"/>
    <w:rsid w:val="00B01E48"/>
    <w:rsid w:val="00B32B45"/>
    <w:rsid w:val="00B35837"/>
    <w:rsid w:val="00B364B1"/>
    <w:rsid w:val="00B40ED2"/>
    <w:rsid w:val="00B41785"/>
    <w:rsid w:val="00B421F1"/>
    <w:rsid w:val="00B42E70"/>
    <w:rsid w:val="00B44981"/>
    <w:rsid w:val="00B472B4"/>
    <w:rsid w:val="00B473F1"/>
    <w:rsid w:val="00B51512"/>
    <w:rsid w:val="00B5200C"/>
    <w:rsid w:val="00B54C64"/>
    <w:rsid w:val="00B54F89"/>
    <w:rsid w:val="00B556CD"/>
    <w:rsid w:val="00B573AA"/>
    <w:rsid w:val="00B6293C"/>
    <w:rsid w:val="00B64EB7"/>
    <w:rsid w:val="00B65A9B"/>
    <w:rsid w:val="00B65ACF"/>
    <w:rsid w:val="00B6650A"/>
    <w:rsid w:val="00B675EF"/>
    <w:rsid w:val="00B748F9"/>
    <w:rsid w:val="00B7515B"/>
    <w:rsid w:val="00B77890"/>
    <w:rsid w:val="00B80D81"/>
    <w:rsid w:val="00B83109"/>
    <w:rsid w:val="00B83DF4"/>
    <w:rsid w:val="00B84C1C"/>
    <w:rsid w:val="00B87656"/>
    <w:rsid w:val="00B87DBA"/>
    <w:rsid w:val="00B924D4"/>
    <w:rsid w:val="00B97DB8"/>
    <w:rsid w:val="00BA2166"/>
    <w:rsid w:val="00BB0F6D"/>
    <w:rsid w:val="00BB0FCD"/>
    <w:rsid w:val="00BB1875"/>
    <w:rsid w:val="00BC0DE1"/>
    <w:rsid w:val="00BC2BC5"/>
    <w:rsid w:val="00BC4309"/>
    <w:rsid w:val="00BC6440"/>
    <w:rsid w:val="00BD191C"/>
    <w:rsid w:val="00BD3499"/>
    <w:rsid w:val="00BD7408"/>
    <w:rsid w:val="00BD7F27"/>
    <w:rsid w:val="00BE2C6F"/>
    <w:rsid w:val="00BE560D"/>
    <w:rsid w:val="00C03BE6"/>
    <w:rsid w:val="00C10EA1"/>
    <w:rsid w:val="00C17E69"/>
    <w:rsid w:val="00C21B80"/>
    <w:rsid w:val="00C22C61"/>
    <w:rsid w:val="00C26352"/>
    <w:rsid w:val="00C33A18"/>
    <w:rsid w:val="00C35824"/>
    <w:rsid w:val="00C40AF3"/>
    <w:rsid w:val="00C47781"/>
    <w:rsid w:val="00C503C6"/>
    <w:rsid w:val="00C514BF"/>
    <w:rsid w:val="00C5575E"/>
    <w:rsid w:val="00C632A3"/>
    <w:rsid w:val="00C6780E"/>
    <w:rsid w:val="00C75054"/>
    <w:rsid w:val="00C80622"/>
    <w:rsid w:val="00C84757"/>
    <w:rsid w:val="00C8494B"/>
    <w:rsid w:val="00C93F94"/>
    <w:rsid w:val="00C94574"/>
    <w:rsid w:val="00C954EE"/>
    <w:rsid w:val="00CA6E08"/>
    <w:rsid w:val="00CB2FFD"/>
    <w:rsid w:val="00CC081A"/>
    <w:rsid w:val="00CC097E"/>
    <w:rsid w:val="00CC40B7"/>
    <w:rsid w:val="00CC482B"/>
    <w:rsid w:val="00CC4EDB"/>
    <w:rsid w:val="00CC5B54"/>
    <w:rsid w:val="00CC5E1B"/>
    <w:rsid w:val="00CC6387"/>
    <w:rsid w:val="00CC7EA0"/>
    <w:rsid w:val="00CD1C92"/>
    <w:rsid w:val="00CD31E4"/>
    <w:rsid w:val="00CD6871"/>
    <w:rsid w:val="00CD6C62"/>
    <w:rsid w:val="00CD6F5A"/>
    <w:rsid w:val="00CE0428"/>
    <w:rsid w:val="00CE2E8A"/>
    <w:rsid w:val="00CE45AA"/>
    <w:rsid w:val="00CF5B3E"/>
    <w:rsid w:val="00CF5FF8"/>
    <w:rsid w:val="00CF6487"/>
    <w:rsid w:val="00D039CF"/>
    <w:rsid w:val="00D03B67"/>
    <w:rsid w:val="00D048B8"/>
    <w:rsid w:val="00D06CFA"/>
    <w:rsid w:val="00D07544"/>
    <w:rsid w:val="00D12C58"/>
    <w:rsid w:val="00D15517"/>
    <w:rsid w:val="00D21628"/>
    <w:rsid w:val="00D22ACC"/>
    <w:rsid w:val="00D2333E"/>
    <w:rsid w:val="00D24C3E"/>
    <w:rsid w:val="00D25E2A"/>
    <w:rsid w:val="00D333F9"/>
    <w:rsid w:val="00D42D4B"/>
    <w:rsid w:val="00D42D4C"/>
    <w:rsid w:val="00D441E4"/>
    <w:rsid w:val="00D4618D"/>
    <w:rsid w:val="00D46A83"/>
    <w:rsid w:val="00D50614"/>
    <w:rsid w:val="00D52B98"/>
    <w:rsid w:val="00D558EE"/>
    <w:rsid w:val="00D55AF2"/>
    <w:rsid w:val="00D569AF"/>
    <w:rsid w:val="00D608AD"/>
    <w:rsid w:val="00D63E19"/>
    <w:rsid w:val="00D64DED"/>
    <w:rsid w:val="00D6799C"/>
    <w:rsid w:val="00D74DD6"/>
    <w:rsid w:val="00D77DDF"/>
    <w:rsid w:val="00D77EDE"/>
    <w:rsid w:val="00D848B1"/>
    <w:rsid w:val="00D85B59"/>
    <w:rsid w:val="00D90615"/>
    <w:rsid w:val="00D912AC"/>
    <w:rsid w:val="00D91AF2"/>
    <w:rsid w:val="00D930E5"/>
    <w:rsid w:val="00D93B31"/>
    <w:rsid w:val="00DA0228"/>
    <w:rsid w:val="00DA08A4"/>
    <w:rsid w:val="00DA5E7E"/>
    <w:rsid w:val="00DA60D7"/>
    <w:rsid w:val="00DB2A9D"/>
    <w:rsid w:val="00DB3BCE"/>
    <w:rsid w:val="00DB6AE5"/>
    <w:rsid w:val="00DB6CDF"/>
    <w:rsid w:val="00DD6F0D"/>
    <w:rsid w:val="00DE461B"/>
    <w:rsid w:val="00DE4AE4"/>
    <w:rsid w:val="00DE7E82"/>
    <w:rsid w:val="00DF3C85"/>
    <w:rsid w:val="00DF4285"/>
    <w:rsid w:val="00E0059D"/>
    <w:rsid w:val="00E01EF9"/>
    <w:rsid w:val="00E0473D"/>
    <w:rsid w:val="00E06312"/>
    <w:rsid w:val="00E07BA6"/>
    <w:rsid w:val="00E13508"/>
    <w:rsid w:val="00E13F97"/>
    <w:rsid w:val="00E26024"/>
    <w:rsid w:val="00E27BBE"/>
    <w:rsid w:val="00E32275"/>
    <w:rsid w:val="00E358DB"/>
    <w:rsid w:val="00E36559"/>
    <w:rsid w:val="00E44242"/>
    <w:rsid w:val="00E454D7"/>
    <w:rsid w:val="00E4640D"/>
    <w:rsid w:val="00E473E6"/>
    <w:rsid w:val="00E50CDF"/>
    <w:rsid w:val="00E51B80"/>
    <w:rsid w:val="00E6048F"/>
    <w:rsid w:val="00E64198"/>
    <w:rsid w:val="00E64B05"/>
    <w:rsid w:val="00E6593D"/>
    <w:rsid w:val="00E739B5"/>
    <w:rsid w:val="00E751FF"/>
    <w:rsid w:val="00E81170"/>
    <w:rsid w:val="00E859DE"/>
    <w:rsid w:val="00E86407"/>
    <w:rsid w:val="00E87709"/>
    <w:rsid w:val="00E9067B"/>
    <w:rsid w:val="00E90840"/>
    <w:rsid w:val="00E91439"/>
    <w:rsid w:val="00E91A23"/>
    <w:rsid w:val="00E9201A"/>
    <w:rsid w:val="00E92160"/>
    <w:rsid w:val="00E926C7"/>
    <w:rsid w:val="00E92812"/>
    <w:rsid w:val="00E944F9"/>
    <w:rsid w:val="00E9497E"/>
    <w:rsid w:val="00E94E1D"/>
    <w:rsid w:val="00E97ADF"/>
    <w:rsid w:val="00E97D4E"/>
    <w:rsid w:val="00EA13A9"/>
    <w:rsid w:val="00EA1A4D"/>
    <w:rsid w:val="00EA1AD2"/>
    <w:rsid w:val="00EA22D5"/>
    <w:rsid w:val="00EA2F56"/>
    <w:rsid w:val="00EA5923"/>
    <w:rsid w:val="00EA5CA4"/>
    <w:rsid w:val="00EA64E1"/>
    <w:rsid w:val="00EB0933"/>
    <w:rsid w:val="00EB31BE"/>
    <w:rsid w:val="00EC06EE"/>
    <w:rsid w:val="00EC1572"/>
    <w:rsid w:val="00EC205F"/>
    <w:rsid w:val="00EC36D0"/>
    <w:rsid w:val="00EC3838"/>
    <w:rsid w:val="00EC5237"/>
    <w:rsid w:val="00EC693B"/>
    <w:rsid w:val="00ED08E7"/>
    <w:rsid w:val="00ED20C1"/>
    <w:rsid w:val="00ED5309"/>
    <w:rsid w:val="00EE0B90"/>
    <w:rsid w:val="00EE1024"/>
    <w:rsid w:val="00EF0617"/>
    <w:rsid w:val="00EF147F"/>
    <w:rsid w:val="00EF3720"/>
    <w:rsid w:val="00EF52C6"/>
    <w:rsid w:val="00EF7BDF"/>
    <w:rsid w:val="00F07B12"/>
    <w:rsid w:val="00F11AB2"/>
    <w:rsid w:val="00F15CF2"/>
    <w:rsid w:val="00F16414"/>
    <w:rsid w:val="00F16A9A"/>
    <w:rsid w:val="00F20265"/>
    <w:rsid w:val="00F20C5E"/>
    <w:rsid w:val="00F22195"/>
    <w:rsid w:val="00F24A87"/>
    <w:rsid w:val="00F25934"/>
    <w:rsid w:val="00F30CCB"/>
    <w:rsid w:val="00F32FD6"/>
    <w:rsid w:val="00F3321F"/>
    <w:rsid w:val="00F33FAD"/>
    <w:rsid w:val="00F36305"/>
    <w:rsid w:val="00F40087"/>
    <w:rsid w:val="00F40267"/>
    <w:rsid w:val="00F42086"/>
    <w:rsid w:val="00F4218A"/>
    <w:rsid w:val="00F42463"/>
    <w:rsid w:val="00F45D8F"/>
    <w:rsid w:val="00F51440"/>
    <w:rsid w:val="00F541E2"/>
    <w:rsid w:val="00F601D9"/>
    <w:rsid w:val="00F661FA"/>
    <w:rsid w:val="00F67687"/>
    <w:rsid w:val="00F74CB0"/>
    <w:rsid w:val="00F77823"/>
    <w:rsid w:val="00F8217F"/>
    <w:rsid w:val="00F85B03"/>
    <w:rsid w:val="00F8675B"/>
    <w:rsid w:val="00F91202"/>
    <w:rsid w:val="00F91B38"/>
    <w:rsid w:val="00FA3F41"/>
    <w:rsid w:val="00FA3F88"/>
    <w:rsid w:val="00FA50D7"/>
    <w:rsid w:val="00FA7F70"/>
    <w:rsid w:val="00FB15F4"/>
    <w:rsid w:val="00FB2417"/>
    <w:rsid w:val="00FB36D0"/>
    <w:rsid w:val="00FB5D26"/>
    <w:rsid w:val="00FC5E95"/>
    <w:rsid w:val="00FC6C5A"/>
    <w:rsid w:val="00FD2002"/>
    <w:rsid w:val="00FD2192"/>
    <w:rsid w:val="00FD311D"/>
    <w:rsid w:val="00FD592C"/>
    <w:rsid w:val="00FE3E48"/>
    <w:rsid w:val="00FE4C88"/>
    <w:rsid w:val="00FE5DF6"/>
    <w:rsid w:val="00FF0B97"/>
    <w:rsid w:val="00FF6028"/>
    <w:rsid w:val="0120DFEB"/>
    <w:rsid w:val="19590280"/>
    <w:rsid w:val="1A110F63"/>
    <w:rsid w:val="20C4966B"/>
    <w:rsid w:val="216FC543"/>
    <w:rsid w:val="28B2D848"/>
    <w:rsid w:val="4560C70B"/>
    <w:rsid w:val="5466BA03"/>
    <w:rsid w:val="60F4B87A"/>
    <w:rsid w:val="7A1952CE"/>
    <w:rsid w:val="7BF522FB"/>
    <w:rsid w:val="7C5449E0"/>
    <w:rsid w:val="7D8646B2"/>
    <w:rsid w:val="7F77B3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3B393"/>
  <w15:docId w15:val="{97CCADEB-01D4-42E4-84D7-D82B2CB6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A6B"/>
    <w:pPr>
      <w:spacing w:after="120"/>
    </w:pPr>
    <w:rPr>
      <w:rFonts w:ascii="Open Sans" w:hAnsi="Open Sans"/>
      <w:sz w:val="22"/>
      <w:lang w:eastAsia="en-US"/>
    </w:rPr>
  </w:style>
  <w:style w:type="paragraph" w:styleId="Heading1">
    <w:name w:val="heading 1"/>
    <w:aliases w:val="Section Heading"/>
    <w:basedOn w:val="HeadingBase"/>
    <w:next w:val="BodyText"/>
    <w:link w:val="Heading1Char"/>
    <w:qFormat/>
    <w:rsid w:val="0009423E"/>
    <w:pPr>
      <w:numPr>
        <w:numId w:val="1"/>
      </w:numPr>
      <w:pBdr>
        <w:bottom w:val="single" w:sz="6" w:space="3" w:color="auto"/>
      </w:pBdr>
      <w:spacing w:before="480"/>
      <w:outlineLvl w:val="0"/>
    </w:pPr>
  </w:style>
  <w:style w:type="paragraph" w:styleId="Heading2">
    <w:name w:val="heading 2"/>
    <w:aliases w:val="Section subheading"/>
    <w:basedOn w:val="HeadingBase"/>
    <w:next w:val="BodyText"/>
    <w:qFormat/>
    <w:rsid w:val="0009423E"/>
    <w:pPr>
      <w:numPr>
        <w:ilvl w:val="1"/>
        <w:numId w:val="1"/>
      </w:numPr>
      <w:spacing w:before="360" w:after="240"/>
      <w:outlineLvl w:val="1"/>
    </w:pPr>
    <w:rPr>
      <w:sz w:val="24"/>
    </w:rPr>
  </w:style>
  <w:style w:type="paragraph" w:styleId="Heading3">
    <w:name w:val="heading 3"/>
    <w:aliases w:val="Level 1 - 1"/>
    <w:basedOn w:val="HeadingBase"/>
    <w:next w:val="BodyText"/>
    <w:link w:val="Heading3Char"/>
    <w:pPr>
      <w:numPr>
        <w:ilvl w:val="2"/>
        <w:numId w:val="1"/>
      </w:numPr>
      <w:outlineLvl w:val="2"/>
    </w:pPr>
    <w:rPr>
      <w:i/>
    </w:rPr>
  </w:style>
  <w:style w:type="paragraph" w:styleId="Heading4">
    <w:name w:val="heading 4"/>
    <w:aliases w:val="Sub Headings"/>
    <w:basedOn w:val="HeadingBase"/>
    <w:next w:val="BodyText"/>
    <w:qFormat/>
    <w:rsid w:val="001D7B70"/>
    <w:pPr>
      <w:ind w:left="0" w:firstLine="0"/>
      <w:outlineLvl w:val="3"/>
    </w:pPr>
    <w:rPr>
      <w:sz w:val="22"/>
    </w:rPr>
  </w:style>
  <w:style w:type="paragraph" w:styleId="Heading5">
    <w:name w:val="heading 5"/>
    <w:basedOn w:val="Heading4"/>
    <w:next w:val="BodyText"/>
    <w:pPr>
      <w:numPr>
        <w:ilvl w:val="4"/>
      </w:numPr>
      <w:outlineLvl w:val="4"/>
    </w:pPr>
  </w:style>
  <w:style w:type="paragraph" w:styleId="Heading6">
    <w:name w:val="heading 6"/>
    <w:basedOn w:val="Heading4"/>
    <w:next w:val="BodyText"/>
    <w:pPr>
      <w:numPr>
        <w:ilvl w:val="5"/>
      </w:numPr>
      <w:outlineLvl w:val="5"/>
    </w:pPr>
  </w:style>
  <w:style w:type="paragraph" w:styleId="Heading7">
    <w:name w:val="heading 7"/>
    <w:basedOn w:val="Heading4"/>
    <w:next w:val="BodyText"/>
    <w:pPr>
      <w:numPr>
        <w:ilvl w:val="6"/>
      </w:numPr>
      <w:outlineLvl w:val="6"/>
    </w:pPr>
  </w:style>
  <w:style w:type="paragraph" w:styleId="Heading8">
    <w:name w:val="heading 8"/>
    <w:basedOn w:val="Heading4"/>
    <w:next w:val="BodyText"/>
    <w:pPr>
      <w:numPr>
        <w:ilvl w:val="7"/>
      </w:numPr>
      <w:outlineLvl w:val="7"/>
    </w:pPr>
  </w:style>
  <w:style w:type="paragraph" w:styleId="Heading9">
    <w:name w:val="heading 9"/>
    <w:basedOn w:val="Heading4"/>
    <w:next w:val="BodyText"/>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20" w:line="280" w:lineRule="exact"/>
      <w:ind w:left="720" w:hanging="720"/>
    </w:pPr>
    <w:rPr>
      <w:b/>
      <w:kern w:val="28"/>
      <w:sz w:val="28"/>
    </w:rPr>
  </w:style>
  <w:style w:type="paragraph" w:styleId="BodyText">
    <w:name w:val="Body Text"/>
    <w:aliases w:val="Body Text Char,Body Text Char1 Char1,Body Text Char Char Char,Body Text Char1 Char Char Char1,Body Text Char Char Char Char Char1,Body Text Char1 Char Char Char1 Char Char,Body Text Char Char Char Char Char1 Char Char,Body Text Char Char1"/>
    <w:basedOn w:val="Normal"/>
    <w:link w:val="BodyTextChar1"/>
    <w:pPr>
      <w:spacing w:after="240"/>
      <w:ind w:left="720"/>
    </w:pPr>
  </w:style>
  <w:style w:type="paragraph" w:styleId="TOC1">
    <w:name w:val="toc 1"/>
    <w:basedOn w:val="TOCBase"/>
    <w:semiHidden/>
    <w:pPr>
      <w:tabs>
        <w:tab w:val="right" w:leader="dot" w:pos="9070"/>
      </w:tabs>
    </w:pPr>
  </w:style>
  <w:style w:type="paragraph" w:customStyle="1" w:styleId="TOCBase">
    <w:name w:val="TOC Base"/>
    <w:basedOn w:val="Normal"/>
    <w:pPr>
      <w:keepLines/>
      <w:spacing w:line="360" w:lineRule="auto"/>
    </w:pPr>
  </w:style>
  <w:style w:type="paragraph" w:styleId="Title">
    <w:name w:val="Title"/>
    <w:basedOn w:val="HeadingBase"/>
    <w:next w:val="Normal"/>
    <w:qFormat/>
    <w:rsid w:val="005D5AFE"/>
    <w:pPr>
      <w:ind w:left="0" w:firstLine="0"/>
    </w:pPr>
    <w:rPr>
      <w:sz w:val="32"/>
    </w:rPr>
  </w:style>
  <w:style w:type="paragraph" w:styleId="TOC2">
    <w:name w:val="toc 2"/>
    <w:basedOn w:val="TOCBase"/>
    <w:semiHidden/>
    <w:pPr>
      <w:tabs>
        <w:tab w:val="right" w:leader="dot" w:pos="9070"/>
      </w:tabs>
      <w:ind w:left="360"/>
    </w:pPr>
  </w:style>
  <w:style w:type="paragraph" w:styleId="TOC3">
    <w:name w:val="toc 3"/>
    <w:basedOn w:val="TOCBase"/>
    <w:semiHidden/>
    <w:pPr>
      <w:tabs>
        <w:tab w:val="right" w:leader="dot" w:pos="9070"/>
      </w:tabs>
      <w:ind w:left="720"/>
    </w:pPr>
  </w:style>
  <w:style w:type="paragraph" w:styleId="Footer">
    <w:name w:val="footer"/>
    <w:basedOn w:val="Normal"/>
    <w:link w:val="FooterChar"/>
    <w:uiPriority w:val="99"/>
    <w:pPr>
      <w:pBdr>
        <w:top w:val="single" w:sz="6" w:space="4" w:color="auto"/>
      </w:pBdr>
    </w:pPr>
  </w:style>
  <w:style w:type="paragraph" w:customStyle="1" w:styleId="Recommendation">
    <w:name w:val="Recommendation"/>
    <w:basedOn w:val="BodyText"/>
    <w:next w:val="BodyText"/>
    <w:pPr>
      <w:keepNext/>
      <w:keepLines/>
    </w:pPr>
    <w:rPr>
      <w:b/>
      <w:u w:val="single"/>
    </w:rPr>
  </w:style>
  <w:style w:type="paragraph" w:styleId="TOCHeading">
    <w:name w:val="TOC Heading"/>
    <w:basedOn w:val="Normal"/>
    <w:pPr>
      <w:spacing w:before="240"/>
      <w:jc w:val="center"/>
    </w:pPr>
  </w:style>
  <w:style w:type="paragraph" w:customStyle="1" w:styleId="TOCHeading2">
    <w:name w:val="TOC Heading 2"/>
    <w:basedOn w:val="TOCHeading"/>
    <w:pPr>
      <w:tabs>
        <w:tab w:val="right" w:pos="9072"/>
      </w:tabs>
      <w:spacing w:before="0" w:after="240"/>
      <w:jc w:val="left"/>
    </w:pPr>
  </w:style>
  <w:style w:type="paragraph" w:customStyle="1" w:styleId="Heading1nonumber">
    <w:name w:val="Heading 1 no number"/>
    <w:basedOn w:val="Heading1"/>
    <w:next w:val="BodyText"/>
    <w:pPr>
      <w:ind w:left="0" w:firstLine="0"/>
      <w:outlineLvl w:val="9"/>
    </w:pPr>
  </w:style>
  <w:style w:type="paragraph" w:customStyle="1" w:styleId="Approval">
    <w:name w:val="Approval"/>
    <w:basedOn w:val="Normal"/>
    <w:pPr>
      <w:keepLines/>
      <w:spacing w:before="480" w:after="480"/>
      <w:ind w:left="4253"/>
    </w:pPr>
  </w:style>
  <w:style w:type="paragraph" w:customStyle="1" w:styleId="Carried">
    <w:name w:val="Carried"/>
    <w:basedOn w:val="BodyText"/>
    <w:pPr>
      <w:tabs>
        <w:tab w:val="left" w:pos="6804"/>
      </w:tabs>
    </w:pPr>
  </w:style>
  <w:style w:type="paragraph" w:customStyle="1" w:styleId="SignOff">
    <w:name w:val="Sign Off"/>
    <w:basedOn w:val="Approval"/>
  </w:style>
  <w:style w:type="paragraph" w:customStyle="1" w:styleId="BodyTextAlpha">
    <w:name w:val="Body Text Alpha"/>
    <w:basedOn w:val="BodyText"/>
    <w:link w:val="BodyTextAlphaChar"/>
    <w:pPr>
      <w:numPr>
        <w:numId w:val="3"/>
      </w:numPr>
    </w:pPr>
  </w:style>
  <w:style w:type="character" w:styleId="PageNumber">
    <w:name w:val="page number"/>
    <w:basedOn w:val="DefaultParagraphFont"/>
  </w:style>
  <w:style w:type="paragraph" w:customStyle="1" w:styleId="Minutes">
    <w:name w:val="Minutes"/>
    <w:basedOn w:val="BodyText"/>
    <w:next w:val="BodyText"/>
    <w:pPr>
      <w:keepNext/>
      <w:keepLines/>
    </w:pPr>
    <w:rPr>
      <w:caps/>
    </w:rPr>
  </w:style>
  <w:style w:type="paragraph" w:customStyle="1" w:styleId="BodyTextRoman">
    <w:name w:val="Body Text Roman"/>
    <w:basedOn w:val="BodyText"/>
    <w:pPr>
      <w:ind w:hanging="720"/>
    </w:pPr>
  </w:style>
  <w:style w:type="paragraph" w:customStyle="1" w:styleId="ListAlpha">
    <w:name w:val="List Alpha"/>
    <w:basedOn w:val="Normal"/>
    <w:pPr>
      <w:ind w:left="1440" w:hanging="720"/>
    </w:pPr>
  </w:style>
  <w:style w:type="paragraph" w:styleId="ListBullet">
    <w:name w:val="List Bullet"/>
    <w:basedOn w:val="Normal"/>
    <w:uiPriority w:val="99"/>
    <w:pPr>
      <w:numPr>
        <w:numId w:val="2"/>
      </w:numPr>
    </w:pPr>
  </w:style>
  <w:style w:type="paragraph" w:customStyle="1" w:styleId="ListRoman">
    <w:name w:val="List Roman"/>
    <w:basedOn w:val="Normal"/>
    <w:pPr>
      <w:ind w:left="1440" w:hanging="720"/>
    </w:pPr>
  </w:style>
  <w:style w:type="paragraph" w:styleId="Header">
    <w:name w:val="header"/>
    <w:basedOn w:val="Normal"/>
    <w:link w:val="HeaderChar"/>
    <w:uiPriority w:val="99"/>
  </w:style>
  <w:style w:type="paragraph" w:styleId="TOC4">
    <w:name w:val="toc 4"/>
    <w:basedOn w:val="Normal"/>
    <w:next w:val="Normal"/>
    <w:semiHidden/>
    <w:pPr>
      <w:tabs>
        <w:tab w:val="right" w:leader="dot" w:pos="9070"/>
      </w:tabs>
      <w:ind w:left="660"/>
    </w:pPr>
  </w:style>
  <w:style w:type="paragraph" w:styleId="TOC5">
    <w:name w:val="toc 5"/>
    <w:basedOn w:val="Normal"/>
    <w:next w:val="Normal"/>
    <w:semiHidden/>
    <w:pPr>
      <w:tabs>
        <w:tab w:val="right" w:leader="dot" w:pos="9070"/>
      </w:tabs>
      <w:ind w:left="880"/>
    </w:pPr>
  </w:style>
  <w:style w:type="paragraph" w:styleId="TOC6">
    <w:name w:val="toc 6"/>
    <w:basedOn w:val="Normal"/>
    <w:next w:val="Normal"/>
    <w:semiHidden/>
    <w:pPr>
      <w:tabs>
        <w:tab w:val="right" w:leader="dot" w:pos="9070"/>
      </w:tabs>
      <w:ind w:left="1100"/>
    </w:pPr>
  </w:style>
  <w:style w:type="paragraph" w:styleId="TOC7">
    <w:name w:val="toc 7"/>
    <w:basedOn w:val="Normal"/>
    <w:next w:val="Normal"/>
    <w:semiHidden/>
    <w:pPr>
      <w:tabs>
        <w:tab w:val="right" w:leader="dot" w:pos="9070"/>
      </w:tabs>
      <w:ind w:left="1320"/>
    </w:pPr>
  </w:style>
  <w:style w:type="paragraph" w:styleId="TOC8">
    <w:name w:val="toc 8"/>
    <w:basedOn w:val="Normal"/>
    <w:next w:val="Normal"/>
    <w:semiHidden/>
    <w:pPr>
      <w:tabs>
        <w:tab w:val="right" w:leader="dot" w:pos="9070"/>
      </w:tabs>
      <w:ind w:left="1540"/>
    </w:pPr>
  </w:style>
  <w:style w:type="paragraph" w:styleId="TOC9">
    <w:name w:val="toc 9"/>
    <w:basedOn w:val="Normal"/>
    <w:next w:val="Normal"/>
    <w:semiHidden/>
    <w:pPr>
      <w:tabs>
        <w:tab w:val="right" w:leader="dot" w:pos="9070"/>
      </w:tabs>
      <w:ind w:left="1760"/>
    </w:pPr>
  </w:style>
  <w:style w:type="character" w:customStyle="1" w:styleId="Heading1Char">
    <w:name w:val="Heading 1 Char"/>
    <w:aliases w:val="Section Heading Char"/>
    <w:link w:val="Heading1"/>
    <w:rsid w:val="0009423E"/>
    <w:rPr>
      <w:rFonts w:ascii="Open Sans" w:hAnsi="Open Sans"/>
      <w:b/>
      <w:kern w:val="28"/>
      <w:sz w:val="28"/>
      <w:lang w:eastAsia="en-US"/>
    </w:rPr>
  </w:style>
  <w:style w:type="character" w:customStyle="1" w:styleId="BodyTextChar1">
    <w:name w:val="Body Text Char1"/>
    <w:aliases w:val="Body Text Char Char,Body Text Char1 Char1 Char,Body Text Char Char Char Char,Body Text Char1 Char Char Char1 Char,Body Text Char Char Char Char Char1 Char,Body Text Char1 Char Char Char1 Char Char Char,Body Text Char Char1 Char"/>
    <w:link w:val="BodyText"/>
    <w:rsid w:val="00AE7DDC"/>
    <w:rPr>
      <w:rFonts w:ascii="Bookman Old Style" w:hAnsi="Bookman Old Style"/>
      <w:sz w:val="22"/>
      <w:lang w:val="en-NZ" w:eastAsia="en-US" w:bidi="ar-SA"/>
    </w:rPr>
  </w:style>
  <w:style w:type="paragraph" w:customStyle="1" w:styleId="File">
    <w:name w:val="File"/>
    <w:basedOn w:val="Normal"/>
    <w:next w:val="Normal"/>
    <w:rsid w:val="00AE7DDC"/>
    <w:pPr>
      <w:ind w:left="720"/>
    </w:pPr>
    <w:rPr>
      <w:rFonts w:ascii="Arial" w:hAnsi="Arial"/>
      <w:b/>
      <w:caps/>
      <w:lang w:val="en-GB"/>
    </w:rPr>
  </w:style>
  <w:style w:type="paragraph" w:styleId="EnvelopeReturn">
    <w:name w:val="envelope return"/>
    <w:basedOn w:val="Normal"/>
    <w:rsid w:val="00F40087"/>
    <w:pPr>
      <w:ind w:left="57" w:right="57"/>
    </w:pPr>
    <w:rPr>
      <w:rFonts w:cs="Arial"/>
      <w:sz w:val="16"/>
    </w:rPr>
  </w:style>
  <w:style w:type="paragraph" w:customStyle="1" w:styleId="FDCBullet">
    <w:name w:val="FDC Bullet"/>
    <w:basedOn w:val="Normal"/>
    <w:rsid w:val="00F40087"/>
    <w:pPr>
      <w:numPr>
        <w:numId w:val="4"/>
      </w:numPr>
      <w:ind w:left="482" w:right="57" w:hanging="425"/>
    </w:pPr>
    <w:rPr>
      <w:sz w:val="24"/>
      <w:szCs w:val="24"/>
    </w:rPr>
  </w:style>
  <w:style w:type="paragraph" w:customStyle="1" w:styleId="FDCNumber">
    <w:name w:val="FDC Number"/>
    <w:basedOn w:val="FDCBullet"/>
    <w:rsid w:val="00CC6387"/>
    <w:pPr>
      <w:numPr>
        <w:numId w:val="5"/>
      </w:numPr>
      <w:tabs>
        <w:tab w:val="left" w:pos="482"/>
      </w:tabs>
      <w:ind w:left="482" w:hanging="425"/>
    </w:pPr>
  </w:style>
  <w:style w:type="table" w:styleId="TableGrid">
    <w:name w:val="Table Grid"/>
    <w:basedOn w:val="TableNormal"/>
    <w:uiPriority w:val="39"/>
    <w:rsid w:val="00526F43"/>
    <w:pPr>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Level 1 - 1 Char"/>
    <w:link w:val="Heading3"/>
    <w:locked/>
    <w:rsid w:val="00A916A0"/>
    <w:rPr>
      <w:rFonts w:ascii="Bookman Old Style" w:hAnsi="Bookman Old Style"/>
      <w:b/>
      <w:i/>
      <w:kern w:val="28"/>
      <w:sz w:val="28"/>
      <w:lang w:eastAsia="en-US"/>
    </w:rPr>
  </w:style>
  <w:style w:type="paragraph" w:customStyle="1" w:styleId="MinutesTitle">
    <w:name w:val="Minutes Title"/>
    <w:basedOn w:val="Normal"/>
    <w:rsid w:val="00AC3DE3"/>
    <w:pPr>
      <w:tabs>
        <w:tab w:val="left" w:pos="720"/>
        <w:tab w:val="left" w:pos="1440"/>
        <w:tab w:val="left" w:pos="6912"/>
        <w:tab w:val="left" w:pos="9360"/>
      </w:tabs>
    </w:pPr>
    <w:rPr>
      <w:u w:val="single"/>
      <w:lang w:val="en-US"/>
    </w:rPr>
  </w:style>
  <w:style w:type="character" w:customStyle="1" w:styleId="CharChar4">
    <w:name w:val="Char Char4"/>
    <w:semiHidden/>
    <w:locked/>
    <w:rsid w:val="009B509F"/>
    <w:rPr>
      <w:rFonts w:ascii="Cambria" w:hAnsi="Cambria" w:cs="Times New Roman"/>
      <w:b/>
      <w:bCs/>
      <w:sz w:val="26"/>
      <w:szCs w:val="26"/>
      <w:lang w:eastAsia="en-US"/>
    </w:rPr>
  </w:style>
  <w:style w:type="character" w:customStyle="1" w:styleId="BodyTextAlphaChar">
    <w:name w:val="Body Text Alpha Char"/>
    <w:link w:val="BodyTextAlpha"/>
    <w:rsid w:val="00CC7EA0"/>
    <w:rPr>
      <w:rFonts w:ascii="Bookman Old Style" w:hAnsi="Bookman Old Style"/>
      <w:sz w:val="22"/>
      <w:lang w:eastAsia="en-US"/>
    </w:rPr>
  </w:style>
  <w:style w:type="paragraph" w:styleId="NormalWeb">
    <w:name w:val="Normal (Web)"/>
    <w:basedOn w:val="Normal"/>
    <w:rsid w:val="002932B6"/>
    <w:pPr>
      <w:spacing w:before="100" w:beforeAutospacing="1" w:after="100" w:afterAutospacing="1"/>
    </w:pPr>
    <w:rPr>
      <w:rFonts w:ascii="Times New Roman" w:hAnsi="Times New Roman"/>
      <w:sz w:val="24"/>
      <w:szCs w:val="24"/>
      <w:lang w:val="en-GB" w:eastAsia="en-GB"/>
    </w:rPr>
  </w:style>
  <w:style w:type="character" w:styleId="Hyperlink">
    <w:name w:val="Hyperlink"/>
    <w:rsid w:val="002932B6"/>
    <w:rPr>
      <w:color w:val="0000FF"/>
      <w:u w:val="single"/>
    </w:rPr>
  </w:style>
  <w:style w:type="paragraph" w:styleId="BalloonText">
    <w:name w:val="Balloon Text"/>
    <w:basedOn w:val="Normal"/>
    <w:link w:val="BalloonTextChar"/>
    <w:rsid w:val="009C38BC"/>
    <w:rPr>
      <w:rFonts w:ascii="Tahoma" w:hAnsi="Tahoma" w:cs="Tahoma"/>
      <w:sz w:val="16"/>
      <w:szCs w:val="16"/>
    </w:rPr>
  </w:style>
  <w:style w:type="character" w:customStyle="1" w:styleId="BalloonTextChar">
    <w:name w:val="Balloon Text Char"/>
    <w:link w:val="BalloonText"/>
    <w:rsid w:val="009C38BC"/>
    <w:rPr>
      <w:rFonts w:ascii="Tahoma" w:hAnsi="Tahoma" w:cs="Tahoma"/>
      <w:sz w:val="16"/>
      <w:szCs w:val="16"/>
      <w:lang w:eastAsia="en-US"/>
    </w:rPr>
  </w:style>
  <w:style w:type="character" w:customStyle="1" w:styleId="HeaderChar">
    <w:name w:val="Header Char"/>
    <w:link w:val="Header"/>
    <w:uiPriority w:val="99"/>
    <w:rsid w:val="009C38BC"/>
    <w:rPr>
      <w:rFonts w:ascii="Bookman Old Style" w:hAnsi="Bookman Old Style"/>
      <w:sz w:val="22"/>
      <w:lang w:eastAsia="en-US"/>
    </w:rPr>
  </w:style>
  <w:style w:type="paragraph" w:customStyle="1" w:styleId="BasicParagraph">
    <w:name w:val="[Basic Paragraph]"/>
    <w:basedOn w:val="Normal"/>
    <w:uiPriority w:val="99"/>
    <w:rsid w:val="005E3EFE"/>
    <w:pPr>
      <w:widowControl w:val="0"/>
      <w:autoSpaceDE w:val="0"/>
      <w:autoSpaceDN w:val="0"/>
      <w:adjustRightInd w:val="0"/>
      <w:spacing w:line="288" w:lineRule="auto"/>
      <w:textAlignment w:val="center"/>
    </w:pPr>
    <w:rPr>
      <w:rFonts w:ascii="Calibri-Bold" w:eastAsia="Calibri" w:hAnsi="Calibri-Bold"/>
      <w:color w:val="000000"/>
      <w:sz w:val="24"/>
      <w:szCs w:val="24"/>
      <w:lang w:val="en-GB"/>
    </w:rPr>
  </w:style>
  <w:style w:type="paragraph" w:customStyle="1" w:styleId="Default">
    <w:name w:val="Default"/>
    <w:rsid w:val="005E3EFE"/>
    <w:pPr>
      <w:autoSpaceDE w:val="0"/>
      <w:autoSpaceDN w:val="0"/>
      <w:adjustRightInd w:val="0"/>
    </w:pPr>
    <w:rPr>
      <w:rFonts w:ascii="Calibri" w:eastAsia="Calibri" w:hAnsi="Calibri" w:cs="Calibri"/>
      <w:color w:val="000000"/>
      <w:sz w:val="24"/>
      <w:szCs w:val="24"/>
    </w:rPr>
  </w:style>
  <w:style w:type="character" w:customStyle="1" w:styleId="FooterChar">
    <w:name w:val="Footer Char"/>
    <w:link w:val="Footer"/>
    <w:uiPriority w:val="99"/>
    <w:rsid w:val="00E6593D"/>
    <w:rPr>
      <w:rFonts w:ascii="Bookman Old Style" w:hAnsi="Bookman Old Style"/>
      <w:sz w:val="22"/>
      <w:lang w:eastAsia="en-US"/>
    </w:rPr>
  </w:style>
  <w:style w:type="character" w:styleId="FollowedHyperlink">
    <w:name w:val="FollowedHyperlink"/>
    <w:basedOn w:val="DefaultParagraphFont"/>
    <w:rsid w:val="00941EE7"/>
    <w:rPr>
      <w:color w:val="800080" w:themeColor="followedHyperlink"/>
      <w:u w:val="single"/>
    </w:rPr>
  </w:style>
  <w:style w:type="character" w:styleId="CommentReference">
    <w:name w:val="annotation reference"/>
    <w:basedOn w:val="DefaultParagraphFont"/>
    <w:semiHidden/>
    <w:unhideWhenUsed/>
    <w:rsid w:val="0082213B"/>
    <w:rPr>
      <w:sz w:val="16"/>
      <w:szCs w:val="16"/>
    </w:rPr>
  </w:style>
  <w:style w:type="paragraph" w:styleId="CommentText">
    <w:name w:val="annotation text"/>
    <w:basedOn w:val="Normal"/>
    <w:link w:val="CommentTextChar"/>
    <w:unhideWhenUsed/>
    <w:rsid w:val="0082213B"/>
    <w:rPr>
      <w:sz w:val="20"/>
    </w:rPr>
  </w:style>
  <w:style w:type="character" w:customStyle="1" w:styleId="CommentTextChar">
    <w:name w:val="Comment Text Char"/>
    <w:basedOn w:val="DefaultParagraphFont"/>
    <w:link w:val="CommentText"/>
    <w:rsid w:val="0082213B"/>
    <w:rPr>
      <w:rFonts w:ascii="Bookman Old Style" w:hAnsi="Bookman Old Style"/>
      <w:lang w:eastAsia="en-US"/>
    </w:rPr>
  </w:style>
  <w:style w:type="paragraph" w:styleId="CommentSubject">
    <w:name w:val="annotation subject"/>
    <w:basedOn w:val="CommentText"/>
    <w:next w:val="CommentText"/>
    <w:link w:val="CommentSubjectChar"/>
    <w:semiHidden/>
    <w:unhideWhenUsed/>
    <w:rsid w:val="0082213B"/>
    <w:rPr>
      <w:b/>
      <w:bCs/>
    </w:rPr>
  </w:style>
  <w:style w:type="character" w:customStyle="1" w:styleId="CommentSubjectChar">
    <w:name w:val="Comment Subject Char"/>
    <w:basedOn w:val="CommentTextChar"/>
    <w:link w:val="CommentSubject"/>
    <w:semiHidden/>
    <w:rsid w:val="0082213B"/>
    <w:rPr>
      <w:rFonts w:ascii="Bookman Old Style" w:hAnsi="Bookman Old Style"/>
      <w:b/>
      <w:bCs/>
      <w:lang w:eastAsia="en-US"/>
    </w:rPr>
  </w:style>
  <w:style w:type="numbering" w:customStyle="1" w:styleId="ICListBullets">
    <w:name w:val="ICListBullets"/>
    <w:uiPriority w:val="99"/>
    <w:rsid w:val="00F51440"/>
    <w:pPr>
      <w:numPr>
        <w:numId w:val="6"/>
      </w:numPr>
    </w:pPr>
  </w:style>
  <w:style w:type="paragraph" w:styleId="ListNumber2">
    <w:name w:val="List Number 2"/>
    <w:basedOn w:val="Normal"/>
    <w:uiPriority w:val="99"/>
    <w:unhideWhenUsed/>
    <w:rsid w:val="00F51440"/>
    <w:pPr>
      <w:tabs>
        <w:tab w:val="left" w:pos="1134"/>
      </w:tabs>
      <w:ind w:left="1701" w:hanging="1134"/>
    </w:pPr>
    <w:rPr>
      <w:rFonts w:ascii="Calibri" w:eastAsia="Calibri" w:hAnsi="Calibri"/>
      <w:szCs w:val="22"/>
    </w:rPr>
  </w:style>
  <w:style w:type="paragraph" w:styleId="List3">
    <w:name w:val="List 3"/>
    <w:basedOn w:val="Normal"/>
    <w:uiPriority w:val="99"/>
    <w:unhideWhenUsed/>
    <w:rsid w:val="00F51440"/>
    <w:pPr>
      <w:ind w:left="1701" w:hanging="567"/>
      <w:contextualSpacing/>
    </w:pPr>
    <w:rPr>
      <w:rFonts w:ascii="Calibri" w:eastAsia="Calibri" w:hAnsi="Calibri"/>
      <w:szCs w:val="22"/>
    </w:rPr>
  </w:style>
  <w:style w:type="paragraph" w:styleId="List4">
    <w:name w:val="List 4"/>
    <w:basedOn w:val="Normal"/>
    <w:uiPriority w:val="99"/>
    <w:semiHidden/>
    <w:unhideWhenUsed/>
    <w:rsid w:val="00F51440"/>
    <w:pPr>
      <w:ind w:left="2268" w:hanging="567"/>
      <w:contextualSpacing/>
    </w:pPr>
    <w:rPr>
      <w:rFonts w:ascii="Calibri" w:eastAsia="Calibri" w:hAnsi="Calibri"/>
      <w:szCs w:val="22"/>
    </w:rPr>
  </w:style>
  <w:style w:type="paragraph" w:styleId="ListBullet5">
    <w:name w:val="List Bullet 5"/>
    <w:basedOn w:val="Normal"/>
    <w:uiPriority w:val="99"/>
    <w:semiHidden/>
    <w:unhideWhenUsed/>
    <w:rsid w:val="00F51440"/>
    <w:pPr>
      <w:ind w:left="2835" w:hanging="567"/>
      <w:contextualSpacing/>
    </w:pPr>
    <w:rPr>
      <w:rFonts w:ascii="Calibri" w:eastAsia="Calibri" w:hAnsi="Calibri"/>
      <w:szCs w:val="22"/>
    </w:rPr>
  </w:style>
  <w:style w:type="paragraph" w:styleId="ListParagraph">
    <w:name w:val="List Paragraph"/>
    <w:basedOn w:val="Normal"/>
    <w:uiPriority w:val="1"/>
    <w:qFormat/>
    <w:rsid w:val="00B5200C"/>
    <w:pPr>
      <w:ind w:left="720"/>
      <w:contextualSpacing/>
    </w:pPr>
  </w:style>
  <w:style w:type="paragraph" w:styleId="ListBullet3">
    <w:name w:val="List Bullet 3"/>
    <w:basedOn w:val="Normal"/>
    <w:semiHidden/>
    <w:unhideWhenUsed/>
    <w:rsid w:val="004D57A8"/>
    <w:pPr>
      <w:numPr>
        <w:numId w:val="8"/>
      </w:numPr>
      <w:contextualSpacing/>
    </w:pPr>
  </w:style>
  <w:style w:type="character" w:styleId="UnresolvedMention">
    <w:name w:val="Unresolved Mention"/>
    <w:basedOn w:val="DefaultParagraphFont"/>
    <w:uiPriority w:val="99"/>
    <w:semiHidden/>
    <w:unhideWhenUsed/>
    <w:rsid w:val="00F07B12"/>
    <w:rPr>
      <w:color w:val="605E5C"/>
      <w:shd w:val="clear" w:color="auto" w:fill="E1DFDD"/>
    </w:rPr>
  </w:style>
  <w:style w:type="table" w:styleId="ListTable2">
    <w:name w:val="List Table 2"/>
    <w:basedOn w:val="TableNormal"/>
    <w:uiPriority w:val="47"/>
    <w:rsid w:val="00CD6C6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rsid w:val="00EE1024"/>
    <w:rPr>
      <w:i/>
      <w:iCs/>
    </w:rPr>
  </w:style>
  <w:style w:type="paragraph" w:styleId="Revision">
    <w:name w:val="Revision"/>
    <w:hidden/>
    <w:uiPriority w:val="99"/>
    <w:semiHidden/>
    <w:rsid w:val="00930350"/>
    <w:rPr>
      <w:rFonts w:ascii="Open Sans" w:hAnsi="Open Sans"/>
      <w:sz w:val="22"/>
      <w:lang w:eastAsia="en-US"/>
    </w:rPr>
  </w:style>
  <w:style w:type="character" w:styleId="Mention">
    <w:name w:val="Mention"/>
    <w:basedOn w:val="DefaultParagraphFont"/>
    <w:uiPriority w:val="99"/>
    <w:unhideWhenUsed/>
    <w:rsid w:val="00821123"/>
    <w:rPr>
      <w:color w:val="2B579A"/>
      <w:shd w:val="clear" w:color="auto" w:fill="E1DFDD"/>
    </w:rPr>
  </w:style>
  <w:style w:type="paragraph" w:styleId="Caption">
    <w:name w:val="caption"/>
    <w:basedOn w:val="Normal"/>
    <w:next w:val="Normal"/>
    <w:unhideWhenUsed/>
    <w:qFormat/>
    <w:rsid w:val="0082112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4687">
      <w:bodyDiv w:val="1"/>
      <w:marLeft w:val="0"/>
      <w:marRight w:val="0"/>
      <w:marTop w:val="0"/>
      <w:marBottom w:val="0"/>
      <w:divBdr>
        <w:top w:val="none" w:sz="0" w:space="0" w:color="auto"/>
        <w:left w:val="none" w:sz="0" w:space="0" w:color="auto"/>
        <w:bottom w:val="none" w:sz="0" w:space="0" w:color="auto"/>
        <w:right w:val="none" w:sz="0" w:space="0" w:color="auto"/>
      </w:divBdr>
      <w:divsChild>
        <w:div w:id="1265384626">
          <w:marLeft w:val="547"/>
          <w:marRight w:val="0"/>
          <w:marTop w:val="86"/>
          <w:marBottom w:val="0"/>
          <w:divBdr>
            <w:top w:val="none" w:sz="0" w:space="0" w:color="auto"/>
            <w:left w:val="none" w:sz="0" w:space="0" w:color="auto"/>
            <w:bottom w:val="none" w:sz="0" w:space="0" w:color="auto"/>
            <w:right w:val="none" w:sz="0" w:space="0" w:color="auto"/>
          </w:divBdr>
        </w:div>
      </w:divsChild>
    </w:div>
    <w:div w:id="457265768">
      <w:bodyDiv w:val="1"/>
      <w:marLeft w:val="0"/>
      <w:marRight w:val="0"/>
      <w:marTop w:val="0"/>
      <w:marBottom w:val="0"/>
      <w:divBdr>
        <w:top w:val="none" w:sz="0" w:space="0" w:color="auto"/>
        <w:left w:val="none" w:sz="0" w:space="0" w:color="auto"/>
        <w:bottom w:val="none" w:sz="0" w:space="0" w:color="auto"/>
        <w:right w:val="none" w:sz="0" w:space="0" w:color="auto"/>
      </w:divBdr>
      <w:divsChild>
        <w:div w:id="110249071">
          <w:marLeft w:val="0"/>
          <w:marRight w:val="0"/>
          <w:marTop w:val="83"/>
          <w:marBottom w:val="0"/>
          <w:divBdr>
            <w:top w:val="none" w:sz="0" w:space="0" w:color="auto"/>
            <w:left w:val="none" w:sz="0" w:space="0" w:color="auto"/>
            <w:bottom w:val="none" w:sz="0" w:space="0" w:color="auto"/>
            <w:right w:val="none" w:sz="0" w:space="0" w:color="auto"/>
          </w:divBdr>
        </w:div>
        <w:div w:id="215120351">
          <w:marLeft w:val="0"/>
          <w:marRight w:val="0"/>
          <w:marTop w:val="83"/>
          <w:marBottom w:val="0"/>
          <w:divBdr>
            <w:top w:val="none" w:sz="0" w:space="0" w:color="auto"/>
            <w:left w:val="none" w:sz="0" w:space="0" w:color="auto"/>
            <w:bottom w:val="none" w:sz="0" w:space="0" w:color="auto"/>
            <w:right w:val="none" w:sz="0" w:space="0" w:color="auto"/>
          </w:divBdr>
        </w:div>
        <w:div w:id="329988174">
          <w:marLeft w:val="0"/>
          <w:marRight w:val="0"/>
          <w:marTop w:val="83"/>
          <w:marBottom w:val="0"/>
          <w:divBdr>
            <w:top w:val="none" w:sz="0" w:space="0" w:color="auto"/>
            <w:left w:val="none" w:sz="0" w:space="0" w:color="auto"/>
            <w:bottom w:val="none" w:sz="0" w:space="0" w:color="auto"/>
            <w:right w:val="none" w:sz="0" w:space="0" w:color="auto"/>
          </w:divBdr>
          <w:divsChild>
            <w:div w:id="21516280">
              <w:marLeft w:val="0"/>
              <w:marRight w:val="0"/>
              <w:marTop w:val="83"/>
              <w:marBottom w:val="0"/>
              <w:divBdr>
                <w:top w:val="none" w:sz="0" w:space="0" w:color="auto"/>
                <w:left w:val="none" w:sz="0" w:space="0" w:color="auto"/>
                <w:bottom w:val="none" w:sz="0" w:space="0" w:color="auto"/>
                <w:right w:val="none" w:sz="0" w:space="0" w:color="auto"/>
              </w:divBdr>
            </w:div>
            <w:div w:id="1890796683">
              <w:marLeft w:val="0"/>
              <w:marRight w:val="0"/>
              <w:marTop w:val="83"/>
              <w:marBottom w:val="0"/>
              <w:divBdr>
                <w:top w:val="none" w:sz="0" w:space="0" w:color="auto"/>
                <w:left w:val="none" w:sz="0" w:space="0" w:color="auto"/>
                <w:bottom w:val="none" w:sz="0" w:space="0" w:color="auto"/>
                <w:right w:val="none" w:sz="0" w:space="0" w:color="auto"/>
              </w:divBdr>
            </w:div>
            <w:div w:id="2042633501">
              <w:marLeft w:val="0"/>
              <w:marRight w:val="0"/>
              <w:marTop w:val="83"/>
              <w:marBottom w:val="0"/>
              <w:divBdr>
                <w:top w:val="none" w:sz="0" w:space="0" w:color="auto"/>
                <w:left w:val="none" w:sz="0" w:space="0" w:color="auto"/>
                <w:bottom w:val="none" w:sz="0" w:space="0" w:color="auto"/>
                <w:right w:val="none" w:sz="0" w:space="0" w:color="auto"/>
              </w:divBdr>
            </w:div>
          </w:divsChild>
        </w:div>
        <w:div w:id="1674070154">
          <w:marLeft w:val="0"/>
          <w:marRight w:val="0"/>
          <w:marTop w:val="83"/>
          <w:marBottom w:val="0"/>
          <w:divBdr>
            <w:top w:val="none" w:sz="0" w:space="0" w:color="auto"/>
            <w:left w:val="none" w:sz="0" w:space="0" w:color="auto"/>
            <w:bottom w:val="none" w:sz="0" w:space="0" w:color="auto"/>
            <w:right w:val="none" w:sz="0" w:space="0" w:color="auto"/>
          </w:divBdr>
        </w:div>
      </w:divsChild>
    </w:div>
    <w:div w:id="749238139">
      <w:bodyDiv w:val="1"/>
      <w:marLeft w:val="0"/>
      <w:marRight w:val="0"/>
      <w:marTop w:val="0"/>
      <w:marBottom w:val="0"/>
      <w:divBdr>
        <w:top w:val="none" w:sz="0" w:space="0" w:color="auto"/>
        <w:left w:val="none" w:sz="0" w:space="0" w:color="auto"/>
        <w:bottom w:val="none" w:sz="0" w:space="0" w:color="auto"/>
        <w:right w:val="none" w:sz="0" w:space="0" w:color="auto"/>
      </w:divBdr>
      <w:divsChild>
        <w:div w:id="46539989">
          <w:marLeft w:val="0"/>
          <w:marRight w:val="0"/>
          <w:marTop w:val="83"/>
          <w:marBottom w:val="0"/>
          <w:divBdr>
            <w:top w:val="none" w:sz="0" w:space="0" w:color="auto"/>
            <w:left w:val="none" w:sz="0" w:space="0" w:color="auto"/>
            <w:bottom w:val="none" w:sz="0" w:space="0" w:color="auto"/>
            <w:right w:val="none" w:sz="0" w:space="0" w:color="auto"/>
          </w:divBdr>
        </w:div>
        <w:div w:id="48113006">
          <w:marLeft w:val="0"/>
          <w:marRight w:val="0"/>
          <w:marTop w:val="83"/>
          <w:marBottom w:val="0"/>
          <w:divBdr>
            <w:top w:val="none" w:sz="0" w:space="0" w:color="auto"/>
            <w:left w:val="none" w:sz="0" w:space="0" w:color="auto"/>
            <w:bottom w:val="none" w:sz="0" w:space="0" w:color="auto"/>
            <w:right w:val="none" w:sz="0" w:space="0" w:color="auto"/>
          </w:divBdr>
        </w:div>
        <w:div w:id="175769938">
          <w:marLeft w:val="0"/>
          <w:marRight w:val="0"/>
          <w:marTop w:val="83"/>
          <w:marBottom w:val="0"/>
          <w:divBdr>
            <w:top w:val="none" w:sz="0" w:space="0" w:color="auto"/>
            <w:left w:val="none" w:sz="0" w:space="0" w:color="auto"/>
            <w:bottom w:val="none" w:sz="0" w:space="0" w:color="auto"/>
            <w:right w:val="none" w:sz="0" w:space="0" w:color="auto"/>
          </w:divBdr>
          <w:divsChild>
            <w:div w:id="137385471">
              <w:marLeft w:val="0"/>
              <w:marRight w:val="0"/>
              <w:marTop w:val="83"/>
              <w:marBottom w:val="0"/>
              <w:divBdr>
                <w:top w:val="none" w:sz="0" w:space="0" w:color="auto"/>
                <w:left w:val="none" w:sz="0" w:space="0" w:color="auto"/>
                <w:bottom w:val="none" w:sz="0" w:space="0" w:color="auto"/>
                <w:right w:val="none" w:sz="0" w:space="0" w:color="auto"/>
              </w:divBdr>
            </w:div>
            <w:div w:id="1071276084">
              <w:marLeft w:val="0"/>
              <w:marRight w:val="0"/>
              <w:marTop w:val="83"/>
              <w:marBottom w:val="0"/>
              <w:divBdr>
                <w:top w:val="none" w:sz="0" w:space="0" w:color="auto"/>
                <w:left w:val="none" w:sz="0" w:space="0" w:color="auto"/>
                <w:bottom w:val="none" w:sz="0" w:space="0" w:color="auto"/>
                <w:right w:val="none" w:sz="0" w:space="0" w:color="auto"/>
              </w:divBdr>
            </w:div>
            <w:div w:id="1277058685">
              <w:marLeft w:val="0"/>
              <w:marRight w:val="0"/>
              <w:marTop w:val="83"/>
              <w:marBottom w:val="0"/>
              <w:divBdr>
                <w:top w:val="none" w:sz="0" w:space="0" w:color="auto"/>
                <w:left w:val="none" w:sz="0" w:space="0" w:color="auto"/>
                <w:bottom w:val="none" w:sz="0" w:space="0" w:color="auto"/>
                <w:right w:val="none" w:sz="0" w:space="0" w:color="auto"/>
              </w:divBdr>
            </w:div>
          </w:divsChild>
        </w:div>
        <w:div w:id="1182936265">
          <w:marLeft w:val="0"/>
          <w:marRight w:val="0"/>
          <w:marTop w:val="83"/>
          <w:marBottom w:val="0"/>
          <w:divBdr>
            <w:top w:val="none" w:sz="0" w:space="0" w:color="auto"/>
            <w:left w:val="none" w:sz="0" w:space="0" w:color="auto"/>
            <w:bottom w:val="none" w:sz="0" w:space="0" w:color="auto"/>
            <w:right w:val="none" w:sz="0" w:space="0" w:color="auto"/>
          </w:divBdr>
        </w:div>
        <w:div w:id="1838375197">
          <w:marLeft w:val="0"/>
          <w:marRight w:val="0"/>
          <w:marTop w:val="83"/>
          <w:marBottom w:val="0"/>
          <w:divBdr>
            <w:top w:val="none" w:sz="0" w:space="0" w:color="auto"/>
            <w:left w:val="none" w:sz="0" w:space="0" w:color="auto"/>
            <w:bottom w:val="none" w:sz="0" w:space="0" w:color="auto"/>
            <w:right w:val="none" w:sz="0" w:space="0" w:color="auto"/>
          </w:divBdr>
          <w:divsChild>
            <w:div w:id="315888341">
              <w:marLeft w:val="0"/>
              <w:marRight w:val="0"/>
              <w:marTop w:val="83"/>
              <w:marBottom w:val="0"/>
              <w:divBdr>
                <w:top w:val="none" w:sz="0" w:space="0" w:color="auto"/>
                <w:left w:val="none" w:sz="0" w:space="0" w:color="auto"/>
                <w:bottom w:val="none" w:sz="0" w:space="0" w:color="auto"/>
                <w:right w:val="none" w:sz="0" w:space="0" w:color="auto"/>
              </w:divBdr>
            </w:div>
            <w:div w:id="345597704">
              <w:marLeft w:val="0"/>
              <w:marRight w:val="0"/>
              <w:marTop w:val="83"/>
              <w:marBottom w:val="0"/>
              <w:divBdr>
                <w:top w:val="none" w:sz="0" w:space="0" w:color="auto"/>
                <w:left w:val="none" w:sz="0" w:space="0" w:color="auto"/>
                <w:bottom w:val="none" w:sz="0" w:space="0" w:color="auto"/>
                <w:right w:val="none" w:sz="0" w:space="0" w:color="auto"/>
              </w:divBdr>
            </w:div>
            <w:div w:id="501817022">
              <w:marLeft w:val="0"/>
              <w:marRight w:val="0"/>
              <w:marTop w:val="83"/>
              <w:marBottom w:val="0"/>
              <w:divBdr>
                <w:top w:val="none" w:sz="0" w:space="0" w:color="auto"/>
                <w:left w:val="none" w:sz="0" w:space="0" w:color="auto"/>
                <w:bottom w:val="none" w:sz="0" w:space="0" w:color="auto"/>
                <w:right w:val="none" w:sz="0" w:space="0" w:color="auto"/>
              </w:divBdr>
            </w:div>
            <w:div w:id="1060589906">
              <w:marLeft w:val="0"/>
              <w:marRight w:val="0"/>
              <w:marTop w:val="83"/>
              <w:marBottom w:val="0"/>
              <w:divBdr>
                <w:top w:val="none" w:sz="0" w:space="0" w:color="auto"/>
                <w:left w:val="none" w:sz="0" w:space="0" w:color="auto"/>
                <w:bottom w:val="none" w:sz="0" w:space="0" w:color="auto"/>
                <w:right w:val="none" w:sz="0" w:space="0" w:color="auto"/>
              </w:divBdr>
            </w:div>
            <w:div w:id="1202858867">
              <w:marLeft w:val="0"/>
              <w:marRight w:val="0"/>
              <w:marTop w:val="83"/>
              <w:marBottom w:val="0"/>
              <w:divBdr>
                <w:top w:val="none" w:sz="0" w:space="0" w:color="auto"/>
                <w:left w:val="none" w:sz="0" w:space="0" w:color="auto"/>
                <w:bottom w:val="none" w:sz="0" w:space="0" w:color="auto"/>
                <w:right w:val="none" w:sz="0" w:space="0" w:color="auto"/>
              </w:divBdr>
            </w:div>
            <w:div w:id="201945781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431301">
      <w:bodyDiv w:val="1"/>
      <w:marLeft w:val="0"/>
      <w:marRight w:val="0"/>
      <w:marTop w:val="0"/>
      <w:marBottom w:val="0"/>
      <w:divBdr>
        <w:top w:val="none" w:sz="0" w:space="0" w:color="auto"/>
        <w:left w:val="none" w:sz="0" w:space="0" w:color="auto"/>
        <w:bottom w:val="none" w:sz="0" w:space="0" w:color="auto"/>
        <w:right w:val="none" w:sz="0" w:space="0" w:color="auto"/>
      </w:divBdr>
      <w:divsChild>
        <w:div w:id="443578411">
          <w:marLeft w:val="0"/>
          <w:marRight w:val="0"/>
          <w:marTop w:val="83"/>
          <w:marBottom w:val="0"/>
          <w:divBdr>
            <w:top w:val="none" w:sz="0" w:space="0" w:color="auto"/>
            <w:left w:val="none" w:sz="0" w:space="0" w:color="auto"/>
            <w:bottom w:val="none" w:sz="0" w:space="0" w:color="auto"/>
            <w:right w:val="none" w:sz="0" w:space="0" w:color="auto"/>
          </w:divBdr>
        </w:div>
        <w:div w:id="818574700">
          <w:marLeft w:val="0"/>
          <w:marRight w:val="0"/>
          <w:marTop w:val="83"/>
          <w:marBottom w:val="0"/>
          <w:divBdr>
            <w:top w:val="none" w:sz="0" w:space="0" w:color="auto"/>
            <w:left w:val="none" w:sz="0" w:space="0" w:color="auto"/>
            <w:bottom w:val="none" w:sz="0" w:space="0" w:color="auto"/>
            <w:right w:val="none" w:sz="0" w:space="0" w:color="auto"/>
          </w:divBdr>
        </w:div>
        <w:div w:id="1451362892">
          <w:marLeft w:val="0"/>
          <w:marRight w:val="0"/>
          <w:marTop w:val="83"/>
          <w:marBottom w:val="0"/>
          <w:divBdr>
            <w:top w:val="none" w:sz="0" w:space="0" w:color="auto"/>
            <w:left w:val="none" w:sz="0" w:space="0" w:color="auto"/>
            <w:bottom w:val="none" w:sz="0" w:space="0" w:color="auto"/>
            <w:right w:val="none" w:sz="0" w:space="0" w:color="auto"/>
          </w:divBdr>
        </w:div>
        <w:div w:id="1531528442">
          <w:marLeft w:val="0"/>
          <w:marRight w:val="0"/>
          <w:marTop w:val="83"/>
          <w:marBottom w:val="0"/>
          <w:divBdr>
            <w:top w:val="none" w:sz="0" w:space="0" w:color="auto"/>
            <w:left w:val="none" w:sz="0" w:space="0" w:color="auto"/>
            <w:bottom w:val="none" w:sz="0" w:space="0" w:color="auto"/>
            <w:right w:val="none" w:sz="0" w:space="0" w:color="auto"/>
          </w:divBdr>
          <w:divsChild>
            <w:div w:id="136068366">
              <w:marLeft w:val="0"/>
              <w:marRight w:val="0"/>
              <w:marTop w:val="83"/>
              <w:marBottom w:val="0"/>
              <w:divBdr>
                <w:top w:val="none" w:sz="0" w:space="0" w:color="auto"/>
                <w:left w:val="none" w:sz="0" w:space="0" w:color="auto"/>
                <w:bottom w:val="none" w:sz="0" w:space="0" w:color="auto"/>
                <w:right w:val="none" w:sz="0" w:space="0" w:color="auto"/>
              </w:divBdr>
            </w:div>
            <w:div w:id="401832902">
              <w:marLeft w:val="0"/>
              <w:marRight w:val="0"/>
              <w:marTop w:val="83"/>
              <w:marBottom w:val="0"/>
              <w:divBdr>
                <w:top w:val="none" w:sz="0" w:space="0" w:color="auto"/>
                <w:left w:val="none" w:sz="0" w:space="0" w:color="auto"/>
                <w:bottom w:val="none" w:sz="0" w:space="0" w:color="auto"/>
                <w:right w:val="none" w:sz="0" w:space="0" w:color="auto"/>
              </w:divBdr>
            </w:div>
            <w:div w:id="1428192143">
              <w:marLeft w:val="0"/>
              <w:marRight w:val="0"/>
              <w:marTop w:val="83"/>
              <w:marBottom w:val="0"/>
              <w:divBdr>
                <w:top w:val="none" w:sz="0" w:space="0" w:color="auto"/>
                <w:left w:val="none" w:sz="0" w:space="0" w:color="auto"/>
                <w:bottom w:val="none" w:sz="0" w:space="0" w:color="auto"/>
                <w:right w:val="none" w:sz="0" w:space="0" w:color="auto"/>
              </w:divBdr>
            </w:div>
          </w:divsChild>
        </w:div>
        <w:div w:id="1752003286">
          <w:marLeft w:val="0"/>
          <w:marRight w:val="0"/>
          <w:marTop w:val="83"/>
          <w:marBottom w:val="0"/>
          <w:divBdr>
            <w:top w:val="none" w:sz="0" w:space="0" w:color="auto"/>
            <w:left w:val="none" w:sz="0" w:space="0" w:color="auto"/>
            <w:bottom w:val="none" w:sz="0" w:space="0" w:color="auto"/>
            <w:right w:val="none" w:sz="0" w:space="0" w:color="auto"/>
          </w:divBdr>
          <w:divsChild>
            <w:div w:id="163907377">
              <w:marLeft w:val="0"/>
              <w:marRight w:val="0"/>
              <w:marTop w:val="83"/>
              <w:marBottom w:val="0"/>
              <w:divBdr>
                <w:top w:val="none" w:sz="0" w:space="0" w:color="auto"/>
                <w:left w:val="none" w:sz="0" w:space="0" w:color="auto"/>
                <w:bottom w:val="none" w:sz="0" w:space="0" w:color="auto"/>
                <w:right w:val="none" w:sz="0" w:space="0" w:color="auto"/>
              </w:divBdr>
            </w:div>
            <w:div w:id="581378060">
              <w:marLeft w:val="0"/>
              <w:marRight w:val="0"/>
              <w:marTop w:val="83"/>
              <w:marBottom w:val="0"/>
              <w:divBdr>
                <w:top w:val="none" w:sz="0" w:space="0" w:color="auto"/>
                <w:left w:val="none" w:sz="0" w:space="0" w:color="auto"/>
                <w:bottom w:val="none" w:sz="0" w:space="0" w:color="auto"/>
                <w:right w:val="none" w:sz="0" w:space="0" w:color="auto"/>
              </w:divBdr>
            </w:div>
            <w:div w:id="701829998">
              <w:marLeft w:val="0"/>
              <w:marRight w:val="0"/>
              <w:marTop w:val="83"/>
              <w:marBottom w:val="0"/>
              <w:divBdr>
                <w:top w:val="none" w:sz="0" w:space="0" w:color="auto"/>
                <w:left w:val="none" w:sz="0" w:space="0" w:color="auto"/>
                <w:bottom w:val="none" w:sz="0" w:space="0" w:color="auto"/>
                <w:right w:val="none" w:sz="0" w:space="0" w:color="auto"/>
              </w:divBdr>
            </w:div>
            <w:div w:id="1277910863">
              <w:marLeft w:val="0"/>
              <w:marRight w:val="0"/>
              <w:marTop w:val="83"/>
              <w:marBottom w:val="0"/>
              <w:divBdr>
                <w:top w:val="none" w:sz="0" w:space="0" w:color="auto"/>
                <w:left w:val="none" w:sz="0" w:space="0" w:color="auto"/>
                <w:bottom w:val="none" w:sz="0" w:space="0" w:color="auto"/>
                <w:right w:val="none" w:sz="0" w:space="0" w:color="auto"/>
              </w:divBdr>
            </w:div>
            <w:div w:id="1942759991">
              <w:marLeft w:val="0"/>
              <w:marRight w:val="0"/>
              <w:marTop w:val="83"/>
              <w:marBottom w:val="0"/>
              <w:divBdr>
                <w:top w:val="none" w:sz="0" w:space="0" w:color="auto"/>
                <w:left w:val="none" w:sz="0" w:space="0" w:color="auto"/>
                <w:bottom w:val="none" w:sz="0" w:space="0" w:color="auto"/>
                <w:right w:val="none" w:sz="0" w:space="0" w:color="auto"/>
              </w:divBdr>
            </w:div>
            <w:div w:id="201557386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286348830">
      <w:bodyDiv w:val="1"/>
      <w:marLeft w:val="0"/>
      <w:marRight w:val="0"/>
      <w:marTop w:val="0"/>
      <w:marBottom w:val="0"/>
      <w:divBdr>
        <w:top w:val="none" w:sz="0" w:space="0" w:color="auto"/>
        <w:left w:val="none" w:sz="0" w:space="0" w:color="auto"/>
        <w:bottom w:val="none" w:sz="0" w:space="0" w:color="auto"/>
        <w:right w:val="none" w:sz="0" w:space="0" w:color="auto"/>
      </w:divBdr>
      <w:divsChild>
        <w:div w:id="317922503">
          <w:marLeft w:val="547"/>
          <w:marRight w:val="0"/>
          <w:marTop w:val="86"/>
          <w:marBottom w:val="0"/>
          <w:divBdr>
            <w:top w:val="none" w:sz="0" w:space="0" w:color="auto"/>
            <w:left w:val="none" w:sz="0" w:space="0" w:color="auto"/>
            <w:bottom w:val="none" w:sz="0" w:space="0" w:color="auto"/>
            <w:right w:val="none" w:sz="0" w:space="0" w:color="auto"/>
          </w:divBdr>
        </w:div>
        <w:div w:id="1200751238">
          <w:marLeft w:val="547"/>
          <w:marRight w:val="0"/>
          <w:marTop w:val="86"/>
          <w:marBottom w:val="0"/>
          <w:divBdr>
            <w:top w:val="none" w:sz="0" w:space="0" w:color="auto"/>
            <w:left w:val="none" w:sz="0" w:space="0" w:color="auto"/>
            <w:bottom w:val="none" w:sz="0" w:space="0" w:color="auto"/>
            <w:right w:val="none" w:sz="0" w:space="0" w:color="auto"/>
          </w:divBdr>
        </w:div>
        <w:div w:id="1437482359">
          <w:marLeft w:val="547"/>
          <w:marRight w:val="0"/>
          <w:marTop w:val="86"/>
          <w:marBottom w:val="0"/>
          <w:divBdr>
            <w:top w:val="none" w:sz="0" w:space="0" w:color="auto"/>
            <w:left w:val="none" w:sz="0" w:space="0" w:color="auto"/>
            <w:bottom w:val="none" w:sz="0" w:space="0" w:color="auto"/>
            <w:right w:val="none" w:sz="0" w:space="0" w:color="auto"/>
          </w:divBdr>
        </w:div>
      </w:divsChild>
    </w:div>
    <w:div w:id="1308244243">
      <w:bodyDiv w:val="1"/>
      <w:marLeft w:val="0"/>
      <w:marRight w:val="0"/>
      <w:marTop w:val="0"/>
      <w:marBottom w:val="0"/>
      <w:divBdr>
        <w:top w:val="none" w:sz="0" w:space="0" w:color="auto"/>
        <w:left w:val="none" w:sz="0" w:space="0" w:color="auto"/>
        <w:bottom w:val="none" w:sz="0" w:space="0" w:color="auto"/>
        <w:right w:val="none" w:sz="0" w:space="0" w:color="auto"/>
      </w:divBdr>
      <w:divsChild>
        <w:div w:id="69154952">
          <w:marLeft w:val="0"/>
          <w:marRight w:val="0"/>
          <w:marTop w:val="83"/>
          <w:marBottom w:val="0"/>
          <w:divBdr>
            <w:top w:val="none" w:sz="0" w:space="0" w:color="auto"/>
            <w:left w:val="none" w:sz="0" w:space="0" w:color="auto"/>
            <w:bottom w:val="none" w:sz="0" w:space="0" w:color="auto"/>
            <w:right w:val="none" w:sz="0" w:space="0" w:color="auto"/>
          </w:divBdr>
          <w:divsChild>
            <w:div w:id="87779555">
              <w:marLeft w:val="0"/>
              <w:marRight w:val="0"/>
              <w:marTop w:val="83"/>
              <w:marBottom w:val="0"/>
              <w:divBdr>
                <w:top w:val="none" w:sz="0" w:space="0" w:color="auto"/>
                <w:left w:val="none" w:sz="0" w:space="0" w:color="auto"/>
                <w:bottom w:val="none" w:sz="0" w:space="0" w:color="auto"/>
                <w:right w:val="none" w:sz="0" w:space="0" w:color="auto"/>
              </w:divBdr>
            </w:div>
            <w:div w:id="1744444862">
              <w:marLeft w:val="0"/>
              <w:marRight w:val="0"/>
              <w:marTop w:val="83"/>
              <w:marBottom w:val="0"/>
              <w:divBdr>
                <w:top w:val="none" w:sz="0" w:space="0" w:color="auto"/>
                <w:left w:val="none" w:sz="0" w:space="0" w:color="auto"/>
                <w:bottom w:val="none" w:sz="0" w:space="0" w:color="auto"/>
                <w:right w:val="none" w:sz="0" w:space="0" w:color="auto"/>
              </w:divBdr>
            </w:div>
            <w:div w:id="2091778445">
              <w:marLeft w:val="0"/>
              <w:marRight w:val="0"/>
              <w:marTop w:val="83"/>
              <w:marBottom w:val="0"/>
              <w:divBdr>
                <w:top w:val="none" w:sz="0" w:space="0" w:color="auto"/>
                <w:left w:val="none" w:sz="0" w:space="0" w:color="auto"/>
                <w:bottom w:val="none" w:sz="0" w:space="0" w:color="auto"/>
                <w:right w:val="none" w:sz="0" w:space="0" w:color="auto"/>
              </w:divBdr>
            </w:div>
          </w:divsChild>
        </w:div>
        <w:div w:id="821429325">
          <w:marLeft w:val="0"/>
          <w:marRight w:val="0"/>
          <w:marTop w:val="83"/>
          <w:marBottom w:val="0"/>
          <w:divBdr>
            <w:top w:val="none" w:sz="0" w:space="0" w:color="auto"/>
            <w:left w:val="none" w:sz="0" w:space="0" w:color="auto"/>
            <w:bottom w:val="none" w:sz="0" w:space="0" w:color="auto"/>
            <w:right w:val="none" w:sz="0" w:space="0" w:color="auto"/>
          </w:divBdr>
        </w:div>
        <w:div w:id="851336704">
          <w:marLeft w:val="0"/>
          <w:marRight w:val="0"/>
          <w:marTop w:val="83"/>
          <w:marBottom w:val="0"/>
          <w:divBdr>
            <w:top w:val="none" w:sz="0" w:space="0" w:color="auto"/>
            <w:left w:val="none" w:sz="0" w:space="0" w:color="auto"/>
            <w:bottom w:val="none" w:sz="0" w:space="0" w:color="auto"/>
            <w:right w:val="none" w:sz="0" w:space="0" w:color="auto"/>
          </w:divBdr>
        </w:div>
        <w:div w:id="1126578752">
          <w:marLeft w:val="0"/>
          <w:marRight w:val="0"/>
          <w:marTop w:val="83"/>
          <w:marBottom w:val="0"/>
          <w:divBdr>
            <w:top w:val="none" w:sz="0" w:space="0" w:color="auto"/>
            <w:left w:val="none" w:sz="0" w:space="0" w:color="auto"/>
            <w:bottom w:val="none" w:sz="0" w:space="0" w:color="auto"/>
            <w:right w:val="none" w:sz="0" w:space="0" w:color="auto"/>
          </w:divBdr>
        </w:div>
      </w:divsChild>
    </w:div>
    <w:div w:id="1827086628">
      <w:bodyDiv w:val="1"/>
      <w:marLeft w:val="0"/>
      <w:marRight w:val="0"/>
      <w:marTop w:val="0"/>
      <w:marBottom w:val="0"/>
      <w:divBdr>
        <w:top w:val="none" w:sz="0" w:space="0" w:color="auto"/>
        <w:left w:val="none" w:sz="0" w:space="0" w:color="auto"/>
        <w:bottom w:val="none" w:sz="0" w:space="0" w:color="auto"/>
        <w:right w:val="none" w:sz="0" w:space="0" w:color="auto"/>
      </w:divBdr>
      <w:divsChild>
        <w:div w:id="190533477">
          <w:marLeft w:val="547"/>
          <w:marRight w:val="0"/>
          <w:marTop w:val="86"/>
          <w:marBottom w:val="0"/>
          <w:divBdr>
            <w:top w:val="none" w:sz="0" w:space="0" w:color="auto"/>
            <w:left w:val="none" w:sz="0" w:space="0" w:color="auto"/>
            <w:bottom w:val="none" w:sz="0" w:space="0" w:color="auto"/>
            <w:right w:val="none" w:sz="0" w:space="0" w:color="auto"/>
          </w:divBdr>
        </w:div>
        <w:div w:id="1750689634">
          <w:marLeft w:val="547"/>
          <w:marRight w:val="0"/>
          <w:marTop w:val="86"/>
          <w:marBottom w:val="0"/>
          <w:divBdr>
            <w:top w:val="none" w:sz="0" w:space="0" w:color="auto"/>
            <w:left w:val="none" w:sz="0" w:space="0" w:color="auto"/>
            <w:bottom w:val="none" w:sz="0" w:space="0" w:color="auto"/>
            <w:right w:val="none" w:sz="0" w:space="0" w:color="auto"/>
          </w:divBdr>
        </w:div>
        <w:div w:id="1948077907">
          <w:marLeft w:val="547"/>
          <w:marRight w:val="0"/>
          <w:marTop w:val="86"/>
          <w:marBottom w:val="0"/>
          <w:divBdr>
            <w:top w:val="none" w:sz="0" w:space="0" w:color="auto"/>
            <w:left w:val="none" w:sz="0" w:space="0" w:color="auto"/>
            <w:bottom w:val="none" w:sz="0" w:space="0" w:color="auto"/>
            <w:right w:val="none" w:sz="0" w:space="0" w:color="auto"/>
          </w:divBdr>
        </w:div>
      </w:divsChild>
    </w:div>
    <w:div w:id="1880897060">
      <w:bodyDiv w:val="1"/>
      <w:marLeft w:val="0"/>
      <w:marRight w:val="0"/>
      <w:marTop w:val="0"/>
      <w:marBottom w:val="0"/>
      <w:divBdr>
        <w:top w:val="none" w:sz="0" w:space="0" w:color="auto"/>
        <w:left w:val="none" w:sz="0" w:space="0" w:color="auto"/>
        <w:bottom w:val="none" w:sz="0" w:space="0" w:color="auto"/>
        <w:right w:val="none" w:sz="0" w:space="0" w:color="auto"/>
      </w:divBdr>
      <w:divsChild>
        <w:div w:id="172427578">
          <w:marLeft w:val="547"/>
          <w:marRight w:val="0"/>
          <w:marTop w:val="86"/>
          <w:marBottom w:val="0"/>
          <w:divBdr>
            <w:top w:val="none" w:sz="0" w:space="0" w:color="auto"/>
            <w:left w:val="none" w:sz="0" w:space="0" w:color="auto"/>
            <w:bottom w:val="none" w:sz="0" w:space="0" w:color="auto"/>
            <w:right w:val="none" w:sz="0" w:space="0" w:color="auto"/>
          </w:divBdr>
        </w:div>
        <w:div w:id="910195763">
          <w:marLeft w:val="547"/>
          <w:marRight w:val="0"/>
          <w:marTop w:val="86"/>
          <w:marBottom w:val="0"/>
          <w:divBdr>
            <w:top w:val="none" w:sz="0" w:space="0" w:color="auto"/>
            <w:left w:val="none" w:sz="0" w:space="0" w:color="auto"/>
            <w:bottom w:val="none" w:sz="0" w:space="0" w:color="auto"/>
            <w:right w:val="none" w:sz="0" w:space="0" w:color="auto"/>
          </w:divBdr>
        </w:div>
      </w:divsChild>
    </w:div>
    <w:div w:id="1914116673">
      <w:bodyDiv w:val="1"/>
      <w:marLeft w:val="0"/>
      <w:marRight w:val="0"/>
      <w:marTop w:val="0"/>
      <w:marBottom w:val="0"/>
      <w:divBdr>
        <w:top w:val="none" w:sz="0" w:space="0" w:color="auto"/>
        <w:left w:val="none" w:sz="0" w:space="0" w:color="auto"/>
        <w:bottom w:val="none" w:sz="0" w:space="0" w:color="auto"/>
        <w:right w:val="none" w:sz="0" w:space="0" w:color="auto"/>
      </w:divBdr>
      <w:divsChild>
        <w:div w:id="588197527">
          <w:marLeft w:val="0"/>
          <w:marRight w:val="0"/>
          <w:marTop w:val="83"/>
          <w:marBottom w:val="0"/>
          <w:divBdr>
            <w:top w:val="none" w:sz="0" w:space="0" w:color="auto"/>
            <w:left w:val="none" w:sz="0" w:space="0" w:color="auto"/>
            <w:bottom w:val="none" w:sz="0" w:space="0" w:color="auto"/>
            <w:right w:val="none" w:sz="0" w:space="0" w:color="auto"/>
          </w:divBdr>
        </w:div>
        <w:div w:id="804346896">
          <w:marLeft w:val="0"/>
          <w:marRight w:val="0"/>
          <w:marTop w:val="83"/>
          <w:marBottom w:val="0"/>
          <w:divBdr>
            <w:top w:val="none" w:sz="0" w:space="0" w:color="auto"/>
            <w:left w:val="none" w:sz="0" w:space="0" w:color="auto"/>
            <w:bottom w:val="none" w:sz="0" w:space="0" w:color="auto"/>
            <w:right w:val="none" w:sz="0" w:space="0" w:color="auto"/>
          </w:divBdr>
        </w:div>
        <w:div w:id="805514801">
          <w:marLeft w:val="0"/>
          <w:marRight w:val="0"/>
          <w:marTop w:val="83"/>
          <w:marBottom w:val="0"/>
          <w:divBdr>
            <w:top w:val="none" w:sz="0" w:space="0" w:color="auto"/>
            <w:left w:val="none" w:sz="0" w:space="0" w:color="auto"/>
            <w:bottom w:val="none" w:sz="0" w:space="0" w:color="auto"/>
            <w:right w:val="none" w:sz="0" w:space="0" w:color="auto"/>
          </w:divBdr>
          <w:divsChild>
            <w:div w:id="125782002">
              <w:marLeft w:val="0"/>
              <w:marRight w:val="0"/>
              <w:marTop w:val="83"/>
              <w:marBottom w:val="0"/>
              <w:divBdr>
                <w:top w:val="none" w:sz="0" w:space="0" w:color="auto"/>
                <w:left w:val="none" w:sz="0" w:space="0" w:color="auto"/>
                <w:bottom w:val="none" w:sz="0" w:space="0" w:color="auto"/>
                <w:right w:val="none" w:sz="0" w:space="0" w:color="auto"/>
              </w:divBdr>
            </w:div>
            <w:div w:id="1101487571">
              <w:marLeft w:val="0"/>
              <w:marRight w:val="0"/>
              <w:marTop w:val="83"/>
              <w:marBottom w:val="0"/>
              <w:divBdr>
                <w:top w:val="none" w:sz="0" w:space="0" w:color="auto"/>
                <w:left w:val="none" w:sz="0" w:space="0" w:color="auto"/>
                <w:bottom w:val="none" w:sz="0" w:space="0" w:color="auto"/>
                <w:right w:val="none" w:sz="0" w:space="0" w:color="auto"/>
              </w:divBdr>
            </w:div>
            <w:div w:id="1557737537">
              <w:marLeft w:val="0"/>
              <w:marRight w:val="0"/>
              <w:marTop w:val="83"/>
              <w:marBottom w:val="0"/>
              <w:divBdr>
                <w:top w:val="none" w:sz="0" w:space="0" w:color="auto"/>
                <w:left w:val="none" w:sz="0" w:space="0" w:color="auto"/>
                <w:bottom w:val="none" w:sz="0" w:space="0" w:color="auto"/>
                <w:right w:val="none" w:sz="0" w:space="0" w:color="auto"/>
              </w:divBdr>
            </w:div>
          </w:divsChild>
        </w:div>
        <w:div w:id="1543325869">
          <w:marLeft w:val="0"/>
          <w:marRight w:val="0"/>
          <w:marTop w:val="83"/>
          <w:marBottom w:val="0"/>
          <w:divBdr>
            <w:top w:val="none" w:sz="0" w:space="0" w:color="auto"/>
            <w:left w:val="none" w:sz="0" w:space="0" w:color="auto"/>
            <w:bottom w:val="none" w:sz="0" w:space="0" w:color="auto"/>
            <w:right w:val="none" w:sz="0" w:space="0" w:color="auto"/>
          </w:divBdr>
          <w:divsChild>
            <w:div w:id="89205787">
              <w:marLeft w:val="0"/>
              <w:marRight w:val="0"/>
              <w:marTop w:val="83"/>
              <w:marBottom w:val="0"/>
              <w:divBdr>
                <w:top w:val="none" w:sz="0" w:space="0" w:color="auto"/>
                <w:left w:val="none" w:sz="0" w:space="0" w:color="auto"/>
                <w:bottom w:val="none" w:sz="0" w:space="0" w:color="auto"/>
                <w:right w:val="none" w:sz="0" w:space="0" w:color="auto"/>
              </w:divBdr>
            </w:div>
            <w:div w:id="595410386">
              <w:marLeft w:val="0"/>
              <w:marRight w:val="0"/>
              <w:marTop w:val="83"/>
              <w:marBottom w:val="0"/>
              <w:divBdr>
                <w:top w:val="none" w:sz="0" w:space="0" w:color="auto"/>
                <w:left w:val="none" w:sz="0" w:space="0" w:color="auto"/>
                <w:bottom w:val="none" w:sz="0" w:space="0" w:color="auto"/>
                <w:right w:val="none" w:sz="0" w:space="0" w:color="auto"/>
              </w:divBdr>
            </w:div>
            <w:div w:id="724178363">
              <w:marLeft w:val="0"/>
              <w:marRight w:val="0"/>
              <w:marTop w:val="83"/>
              <w:marBottom w:val="0"/>
              <w:divBdr>
                <w:top w:val="none" w:sz="0" w:space="0" w:color="auto"/>
                <w:left w:val="none" w:sz="0" w:space="0" w:color="auto"/>
                <w:bottom w:val="none" w:sz="0" w:space="0" w:color="auto"/>
                <w:right w:val="none" w:sz="0" w:space="0" w:color="auto"/>
              </w:divBdr>
            </w:div>
            <w:div w:id="769740588">
              <w:marLeft w:val="0"/>
              <w:marRight w:val="0"/>
              <w:marTop w:val="83"/>
              <w:marBottom w:val="0"/>
              <w:divBdr>
                <w:top w:val="none" w:sz="0" w:space="0" w:color="auto"/>
                <w:left w:val="none" w:sz="0" w:space="0" w:color="auto"/>
                <w:bottom w:val="none" w:sz="0" w:space="0" w:color="auto"/>
                <w:right w:val="none" w:sz="0" w:space="0" w:color="auto"/>
              </w:divBdr>
            </w:div>
            <w:div w:id="1127696122">
              <w:marLeft w:val="0"/>
              <w:marRight w:val="0"/>
              <w:marTop w:val="83"/>
              <w:marBottom w:val="0"/>
              <w:divBdr>
                <w:top w:val="none" w:sz="0" w:space="0" w:color="auto"/>
                <w:left w:val="none" w:sz="0" w:space="0" w:color="auto"/>
                <w:bottom w:val="none" w:sz="0" w:space="0" w:color="auto"/>
                <w:right w:val="none" w:sz="0" w:space="0" w:color="auto"/>
              </w:divBdr>
            </w:div>
            <w:div w:id="1159464294">
              <w:marLeft w:val="0"/>
              <w:marRight w:val="0"/>
              <w:marTop w:val="83"/>
              <w:marBottom w:val="0"/>
              <w:divBdr>
                <w:top w:val="none" w:sz="0" w:space="0" w:color="auto"/>
                <w:left w:val="none" w:sz="0" w:space="0" w:color="auto"/>
                <w:bottom w:val="none" w:sz="0" w:space="0" w:color="auto"/>
                <w:right w:val="none" w:sz="0" w:space="0" w:color="auto"/>
              </w:divBdr>
            </w:div>
          </w:divsChild>
        </w:div>
        <w:div w:id="1583299669">
          <w:marLeft w:val="0"/>
          <w:marRight w:val="0"/>
          <w:marTop w:val="83"/>
          <w:marBottom w:val="0"/>
          <w:divBdr>
            <w:top w:val="none" w:sz="0" w:space="0" w:color="auto"/>
            <w:left w:val="none" w:sz="0" w:space="0" w:color="auto"/>
            <w:bottom w:val="none" w:sz="0" w:space="0" w:color="auto"/>
            <w:right w:val="none" w:sz="0" w:space="0" w:color="auto"/>
          </w:divBdr>
        </w:div>
      </w:divsChild>
    </w:div>
    <w:div w:id="1998726261">
      <w:bodyDiv w:val="1"/>
      <w:marLeft w:val="0"/>
      <w:marRight w:val="0"/>
      <w:marTop w:val="0"/>
      <w:marBottom w:val="0"/>
      <w:divBdr>
        <w:top w:val="none" w:sz="0" w:space="0" w:color="auto"/>
        <w:left w:val="none" w:sz="0" w:space="0" w:color="auto"/>
        <w:bottom w:val="none" w:sz="0" w:space="0" w:color="auto"/>
        <w:right w:val="none" w:sz="0" w:space="0" w:color="auto"/>
      </w:divBdr>
      <w:divsChild>
        <w:div w:id="1288193963">
          <w:marLeft w:val="547"/>
          <w:marRight w:val="0"/>
          <w:marTop w:val="86"/>
          <w:marBottom w:val="0"/>
          <w:divBdr>
            <w:top w:val="none" w:sz="0" w:space="0" w:color="auto"/>
            <w:left w:val="none" w:sz="0" w:space="0" w:color="auto"/>
            <w:bottom w:val="none" w:sz="0" w:space="0" w:color="auto"/>
            <w:right w:val="none" w:sz="0" w:space="0" w:color="auto"/>
          </w:divBdr>
        </w:div>
      </w:divsChild>
    </w:div>
    <w:div w:id="2070617310">
      <w:bodyDiv w:val="1"/>
      <w:marLeft w:val="0"/>
      <w:marRight w:val="0"/>
      <w:marTop w:val="0"/>
      <w:marBottom w:val="0"/>
      <w:divBdr>
        <w:top w:val="none" w:sz="0" w:space="0" w:color="auto"/>
        <w:left w:val="none" w:sz="0" w:space="0" w:color="auto"/>
        <w:bottom w:val="none" w:sz="0" w:space="0" w:color="auto"/>
        <w:right w:val="none" w:sz="0" w:space="0" w:color="auto"/>
      </w:divBdr>
      <w:divsChild>
        <w:div w:id="43262333">
          <w:marLeft w:val="547"/>
          <w:marRight w:val="0"/>
          <w:marTop w:val="86"/>
          <w:marBottom w:val="0"/>
          <w:divBdr>
            <w:top w:val="none" w:sz="0" w:space="0" w:color="auto"/>
            <w:left w:val="none" w:sz="0" w:space="0" w:color="auto"/>
            <w:bottom w:val="none" w:sz="0" w:space="0" w:color="auto"/>
            <w:right w:val="none" w:sz="0" w:space="0" w:color="auto"/>
          </w:divBdr>
        </w:div>
        <w:div w:id="770008058">
          <w:marLeft w:val="547"/>
          <w:marRight w:val="0"/>
          <w:marTop w:val="86"/>
          <w:marBottom w:val="0"/>
          <w:divBdr>
            <w:top w:val="none" w:sz="0" w:space="0" w:color="auto"/>
            <w:left w:val="none" w:sz="0" w:space="0" w:color="auto"/>
            <w:bottom w:val="none" w:sz="0" w:space="0" w:color="auto"/>
            <w:right w:val="none" w:sz="0" w:space="0" w:color="auto"/>
          </w:divBdr>
        </w:div>
        <w:div w:id="937253367">
          <w:marLeft w:val="547"/>
          <w:marRight w:val="0"/>
          <w:marTop w:val="86"/>
          <w:marBottom w:val="0"/>
          <w:divBdr>
            <w:top w:val="none" w:sz="0" w:space="0" w:color="auto"/>
            <w:left w:val="none" w:sz="0" w:space="0" w:color="auto"/>
            <w:bottom w:val="none" w:sz="0" w:space="0" w:color="auto"/>
            <w:right w:val="none" w:sz="0" w:space="0" w:color="auto"/>
          </w:divBdr>
        </w:div>
        <w:div w:id="206255285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1e9b872-8522-43dd-9819-17b75bc012fb">
      <UserInfo>
        <DisplayName>Hannah Beaven</DisplayName>
        <AccountId>1271</AccountId>
        <AccountType/>
      </UserInfo>
      <UserInfo>
        <DisplayName>Nicole Hubbard</DisplayName>
        <AccountId>863</AccountId>
        <AccountType/>
      </UserInfo>
      <UserInfo>
        <DisplayName>Anthony Pipe</DisplayName>
        <AccountId>535</AccountId>
        <AccountType/>
      </UserInfo>
      <UserInfo>
        <DisplayName>Toby McIntyre</DisplayName>
        <AccountId>735</AccountId>
        <AccountType/>
      </UserInfo>
      <UserInfo>
        <DisplayName>Robbie Hermann</DisplayName>
        <AccountId>1074</AccountId>
        <AccountType/>
      </UserInfo>
      <UserInfo>
        <DisplayName>Jim Ebenhoh</DisplayName>
        <AccountId>18</AccountId>
        <AccountType/>
      </UserInfo>
      <UserInfo>
        <DisplayName>Roger MacCulloch</DisplayName>
        <AccountId>151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26916A6CEB52409F11E7FA24022EF8" ma:contentTypeVersion="10" ma:contentTypeDescription="Create a new document." ma:contentTypeScope="" ma:versionID="27bc14e06bd24ab7878ccc6114153763">
  <xsd:schema xmlns:xsd="http://www.w3.org/2001/XMLSchema" xmlns:xs="http://www.w3.org/2001/XMLSchema" xmlns:p="http://schemas.microsoft.com/office/2006/metadata/properties" xmlns:ns2="76a4eae9-f630-497e-988d-3ec914de2a6a" xmlns:ns3="01e9b872-8522-43dd-9819-17b75bc012fb" targetNamespace="http://schemas.microsoft.com/office/2006/metadata/properties" ma:root="true" ma:fieldsID="5abc6e868f002bbe0e06f38749cc8678" ns2:_="" ns3:_="">
    <xsd:import namespace="76a4eae9-f630-497e-988d-3ec914de2a6a"/>
    <xsd:import namespace="01e9b872-8522-43dd-9819-17b75bc0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4eae9-f630-497e-988d-3ec914de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9b872-8522-43dd-9819-17b75bc012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A094C-132A-4DBA-BD5D-2728CD50B345}">
  <ds:schemaRefs>
    <ds:schemaRef ds:uri="http://schemas.openxmlformats.org/officeDocument/2006/bibliography"/>
  </ds:schemaRefs>
</ds:datastoreItem>
</file>

<file path=customXml/itemProps2.xml><?xml version="1.0" encoding="utf-8"?>
<ds:datastoreItem xmlns:ds="http://schemas.openxmlformats.org/officeDocument/2006/customXml" ds:itemID="{E99BC249-9225-4D72-BA96-7AECDC67A1C0}">
  <ds:schemaRefs>
    <ds:schemaRef ds:uri="http://schemas.microsoft.com/office/2006/metadata/properties"/>
    <ds:schemaRef ds:uri="http://schemas.microsoft.com/office/infopath/2007/PartnerControls"/>
    <ds:schemaRef ds:uri="7f387bcc-f9d1-4339-bcdb-3f8b2dec49f2"/>
    <ds:schemaRef ds:uri="f8c7e6b2-fe41-446d-85ac-e8f94a6fb709"/>
  </ds:schemaRefs>
</ds:datastoreItem>
</file>

<file path=customXml/itemProps3.xml><?xml version="1.0" encoding="utf-8"?>
<ds:datastoreItem xmlns:ds="http://schemas.openxmlformats.org/officeDocument/2006/customXml" ds:itemID="{4FA71E5C-B72D-42AD-83BA-7D064B8F0976}"/>
</file>

<file path=customXml/itemProps4.xml><?xml version="1.0" encoding="utf-8"?>
<ds:datastoreItem xmlns:ds="http://schemas.openxmlformats.org/officeDocument/2006/customXml" ds:itemID="{6B625264-F8E2-43BD-8FD6-FC5ECDC3F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Council Meeting Agenda</vt:lpstr>
    </vt:vector>
  </TitlesOfParts>
  <Company>-</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dc:title>
  <dc:subject>Agenda</dc:subject>
  <dc:creator>Toby McIntyre</dc:creator>
  <cp:keywords>Council Meeting Agenda</cp:keywords>
  <dc:description>Template for Agenda of Council Meetings</dc:description>
  <cp:lastModifiedBy>Hannah Beaven</cp:lastModifiedBy>
  <cp:revision>2</cp:revision>
  <cp:lastPrinted>2024-04-18T00:21:00Z</cp:lastPrinted>
  <dcterms:created xsi:type="dcterms:W3CDTF">2024-04-18T00:37:00Z</dcterms:created>
  <dcterms:modified xsi:type="dcterms:W3CDTF">2024-04-18T00:37:00Z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000800f0090000000000010251510207f74006b004c800</vt:lpwstr>
  </property>
  <property fmtid="{D5CDD505-2E9C-101B-9397-08002B2CF9AE}" pid="3" name="DWDocAuthor">
    <vt:lpwstr/>
  </property>
  <property fmtid="{D5CDD505-2E9C-101B-9397-08002B2CF9AE}" pid="4" name="DWDocClass">
    <vt:lpwstr/>
  </property>
  <property fmtid="{D5CDD505-2E9C-101B-9397-08002B2CF9AE}" pid="5" name="DWDocClassId">
    <vt:lpwstr/>
  </property>
  <property fmtid="{D5CDD505-2E9C-101B-9397-08002B2CF9AE}" pid="6" name="DWDocPrecis">
    <vt:lpwstr/>
  </property>
  <property fmtid="{D5CDD505-2E9C-101B-9397-08002B2CF9AE}" pid="7" name="DWDocNo">
    <vt:lpwstr/>
  </property>
  <property fmtid="{D5CDD505-2E9C-101B-9397-08002B2CF9AE}" pid="8" name="DWDocSetID">
    <vt:lpwstr/>
  </property>
  <property fmtid="{D5CDD505-2E9C-101B-9397-08002B2CF9AE}" pid="9" name="DWDocType">
    <vt:lpwstr/>
  </property>
  <property fmtid="{D5CDD505-2E9C-101B-9397-08002B2CF9AE}" pid="10" name="DWDocVersion">
    <vt:lpwstr/>
  </property>
  <property fmtid="{D5CDD505-2E9C-101B-9397-08002B2CF9AE}" pid="11" name="ContentTypeId">
    <vt:lpwstr>0x0101002326916A6CEB52409F11E7FA24022EF8</vt:lpwstr>
  </property>
  <property fmtid="{D5CDD505-2E9C-101B-9397-08002B2CF9AE}" pid="12" name="MediaServiceImageTags">
    <vt:lpwstr/>
  </property>
</Properties>
</file>